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600" w:lineRule="exact"/>
        <w:jc w:val="center"/>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关于印发《枣庄市行政审批服务局重点项目</w:t>
      </w:r>
    </w:p>
    <w:p>
      <w:pPr>
        <w:spacing w:after="0"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“绿色通道”实施办法》的通知</w:t>
      </w:r>
    </w:p>
    <w:p>
      <w:pPr>
        <w:widowControl w:val="0"/>
        <w:adjustRightInd/>
        <w:snapToGrid/>
        <w:spacing w:after="0" w:line="560" w:lineRule="exact"/>
        <w:ind w:firstLine="640" w:firstLineChars="200"/>
        <w:jc w:val="both"/>
        <w:rPr>
          <w:rFonts w:hint="eastAsia" w:ascii="仿宋_GB2312" w:hAnsi="仿宋_GB2312" w:eastAsia="仿宋_GB2312" w:cs="仿宋_GB2312"/>
          <w:sz w:val="32"/>
          <w:szCs w:val="32"/>
        </w:rPr>
      </w:pPr>
    </w:p>
    <w:p>
      <w:pPr>
        <w:widowControl w:val="0"/>
        <w:adjustRightInd/>
        <w:snapToGrid/>
        <w:spacing w:after="0" w:line="56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机关各科室，局属各单位，大厅各窗口：</w:t>
      </w:r>
    </w:p>
    <w:p>
      <w:pPr>
        <w:spacing w:after="0"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根据《全市“工业强市、产业兴市”三年攻坚突破</w:t>
      </w:r>
      <w:r>
        <w:rPr>
          <w:rFonts w:ascii="仿宋_GB2312" w:hAnsi="仿宋_GB2312" w:eastAsia="仿宋_GB2312" w:cs="仿宋_GB2312"/>
          <w:sz w:val="32"/>
          <w:szCs w:val="32"/>
        </w:rPr>
        <w:t>行动动员大会重点任务实施方案</w:t>
      </w:r>
      <w:r>
        <w:rPr>
          <w:rFonts w:hint="eastAsia" w:ascii="仿宋_GB2312" w:hAnsi="仿宋_GB2312" w:eastAsia="仿宋_GB2312" w:cs="仿宋_GB2312"/>
          <w:sz w:val="32"/>
          <w:szCs w:val="32"/>
        </w:rPr>
        <w:t>》要求，我局制定了《枣庄市行政审批服务局重点项目“绿色通道”实施办法》，请按照要求认真贯彻落实。</w:t>
      </w:r>
    </w:p>
    <w:p>
      <w:pPr>
        <w:pStyle w:val="14"/>
        <w:widowControl w:val="0"/>
        <w:spacing w:line="560" w:lineRule="exact"/>
        <w:ind w:firstLine="0" w:firstLineChars="0"/>
      </w:pPr>
    </w:p>
    <w:p>
      <w:pPr>
        <w:pStyle w:val="14"/>
        <w:widowControl w:val="0"/>
        <w:spacing w:line="560" w:lineRule="exact"/>
        <w:ind w:firstLine="0" w:firstLineChars="0"/>
      </w:pPr>
    </w:p>
    <w:p>
      <w:pPr>
        <w:pStyle w:val="14"/>
        <w:widowControl w:val="0"/>
        <w:spacing w:line="560" w:lineRule="exact"/>
        <w:ind w:firstLine="0" w:firstLineChars="0"/>
      </w:pPr>
    </w:p>
    <w:p>
      <w:pPr>
        <w:widowControl w:val="0"/>
        <w:adjustRightInd/>
        <w:snapToGrid/>
        <w:spacing w:after="0" w:line="560" w:lineRule="exact"/>
        <w:ind w:firstLine="4480" w:firstLineChars="14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枣庄市行政审批服务局</w:t>
      </w:r>
    </w:p>
    <w:p>
      <w:pPr>
        <w:widowControl w:val="0"/>
        <w:adjustRightInd/>
        <w:snapToGrid/>
        <w:spacing w:after="0" w:line="560" w:lineRule="exact"/>
        <w:ind w:firstLine="5120" w:firstLineChars="16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2021年3月22日</w:t>
      </w:r>
    </w:p>
    <w:p>
      <w:pPr>
        <w:pStyle w:val="2"/>
        <w:spacing w:line="560" w:lineRule="exact"/>
        <w:ind w:firstLine="640"/>
        <w:rPr>
          <w:rFonts w:hint="eastAsia" w:ascii="仿宋_GB2312" w:hAnsi="仿宋_GB2312" w:cs="仿宋_GB2312"/>
          <w:szCs w:val="32"/>
        </w:rPr>
      </w:pPr>
    </w:p>
    <w:p>
      <w:pPr>
        <w:pStyle w:val="2"/>
        <w:spacing w:line="560" w:lineRule="exact"/>
        <w:ind w:firstLine="640"/>
        <w:rPr>
          <w:rFonts w:hint="eastAsia" w:ascii="仿宋_GB2312" w:hAnsi="仿宋_GB2312" w:cs="仿宋_GB2312"/>
          <w:szCs w:val="32"/>
        </w:rPr>
      </w:pPr>
    </w:p>
    <w:p>
      <w:pPr>
        <w:pStyle w:val="2"/>
        <w:spacing w:line="560" w:lineRule="exact"/>
        <w:ind w:firstLine="640"/>
        <w:rPr>
          <w:rFonts w:hint="eastAsia" w:ascii="仿宋_GB2312" w:hAnsi="仿宋_GB2312" w:cs="仿宋_GB2312"/>
          <w:szCs w:val="32"/>
        </w:rPr>
      </w:pPr>
    </w:p>
    <w:p>
      <w:pPr>
        <w:pStyle w:val="2"/>
        <w:spacing w:line="560" w:lineRule="exact"/>
        <w:ind w:firstLine="640"/>
        <w:rPr>
          <w:rFonts w:ascii="仿宋_GB2312" w:hAnsi="仿宋_GB2312" w:cs="仿宋_GB2312"/>
          <w:szCs w:val="32"/>
        </w:rPr>
      </w:pPr>
    </w:p>
    <w:p>
      <w:pPr>
        <w:pStyle w:val="2"/>
        <w:spacing w:line="560" w:lineRule="exact"/>
        <w:ind w:firstLine="640"/>
        <w:rPr>
          <w:rFonts w:ascii="仿宋_GB2312" w:hAnsi="仿宋_GB2312" w:cs="仿宋_GB2312"/>
          <w:szCs w:val="32"/>
        </w:rPr>
      </w:pPr>
    </w:p>
    <w:p>
      <w:pPr>
        <w:pStyle w:val="2"/>
        <w:spacing w:line="560" w:lineRule="exact"/>
        <w:ind w:firstLine="640"/>
        <w:rPr>
          <w:rFonts w:hint="eastAsia" w:ascii="仿宋_GB2312" w:hAnsi="仿宋_GB2312" w:cs="仿宋_GB2312"/>
          <w:szCs w:val="32"/>
        </w:rPr>
      </w:pPr>
    </w:p>
    <w:p>
      <w:pPr>
        <w:pStyle w:val="2"/>
        <w:spacing w:line="560" w:lineRule="exact"/>
        <w:ind w:firstLine="0" w:firstLineChars="0"/>
        <w:rPr>
          <w:rFonts w:hint="eastAsia"/>
        </w:rPr>
      </w:pPr>
    </w:p>
    <w:p>
      <w:pPr>
        <w:spacing w:after="0" w:line="560" w:lineRule="exact"/>
        <w:jc w:val="center"/>
        <w:rPr>
          <w:rFonts w:ascii="方正小标宋简体" w:hAnsi="方正小标宋简体" w:eastAsia="方正小标宋简体" w:cs="方正小标宋简体"/>
          <w:sz w:val="44"/>
          <w:szCs w:val="44"/>
        </w:rPr>
      </w:pPr>
    </w:p>
    <w:p>
      <w:pPr>
        <w:pStyle w:val="2"/>
        <w:rPr>
          <w:rFonts w:ascii="方正小标宋简体" w:hAnsi="方正小标宋简体" w:eastAsia="方正小标宋简体" w:cs="方正小标宋简体"/>
          <w:sz w:val="44"/>
          <w:szCs w:val="44"/>
        </w:rPr>
      </w:pPr>
    </w:p>
    <w:p>
      <w:pPr>
        <w:pStyle w:val="2"/>
        <w:ind w:left="0" w:leftChars="0" w:firstLine="0" w:firstLineChars="0"/>
        <w:rPr>
          <w:rFonts w:ascii="方正小标宋简体" w:hAnsi="方正小标宋简体" w:eastAsia="方正小标宋简体" w:cs="方正小标宋简体"/>
          <w:sz w:val="44"/>
          <w:szCs w:val="44"/>
        </w:rPr>
      </w:pPr>
    </w:p>
    <w:p>
      <w:pPr>
        <w:spacing w:after="0"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枣庄市行政审批服务局</w:t>
      </w:r>
    </w:p>
    <w:p>
      <w:pPr>
        <w:spacing w:after="0"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重点项目“绿色通道”实施办法</w:t>
      </w:r>
    </w:p>
    <w:p>
      <w:pPr>
        <w:pStyle w:val="2"/>
        <w:spacing w:line="560" w:lineRule="exact"/>
        <w:ind w:firstLine="0" w:firstLineChars="0"/>
        <w:rPr>
          <w:rFonts w:hint="eastAsia"/>
        </w:rPr>
      </w:pPr>
    </w:p>
    <w:p>
      <w:pPr>
        <w:spacing w:after="0" w:line="560" w:lineRule="exact"/>
        <w:jc w:val="center"/>
        <w:rPr>
          <w:rFonts w:hint="eastAsia" w:ascii="黑体" w:hAnsi="黑体" w:eastAsia="黑体" w:cs="仿宋_GB2312"/>
          <w:bCs/>
          <w:sz w:val="32"/>
          <w:szCs w:val="32"/>
        </w:rPr>
      </w:pPr>
      <w:r>
        <w:rPr>
          <w:rFonts w:hint="eastAsia" w:ascii="黑体" w:hAnsi="黑体" w:eastAsia="黑体" w:cs="仿宋_GB2312"/>
          <w:bCs/>
          <w:sz w:val="32"/>
          <w:szCs w:val="32"/>
        </w:rPr>
        <w:t>第一章  总则</w:t>
      </w:r>
    </w:p>
    <w:p>
      <w:pPr>
        <w:widowControl w:val="0"/>
        <w:spacing w:after="0" w:line="560" w:lineRule="exact"/>
        <w:ind w:firstLine="643" w:firstLineChars="200"/>
        <w:jc w:val="both"/>
        <w:rPr>
          <w:rFonts w:hint="eastAsia" w:ascii="仿宋_GB2312" w:hAnsi="仿宋_GB2312" w:eastAsia="仿宋_GB2312" w:cs="仿宋_GB2312"/>
          <w:bCs/>
          <w:iCs/>
          <w:snapToGrid w:val="0"/>
          <w:sz w:val="32"/>
          <w:szCs w:val="32"/>
        </w:rPr>
      </w:pPr>
      <w:r>
        <w:rPr>
          <w:rFonts w:hint="eastAsia" w:ascii="仿宋_GB2312" w:hAnsi="仿宋_GB2312" w:eastAsia="仿宋_GB2312" w:cs="仿宋_GB2312"/>
          <w:b/>
          <w:bCs/>
          <w:kern w:val="2"/>
          <w:sz w:val="32"/>
          <w:szCs w:val="32"/>
        </w:rPr>
        <w:t xml:space="preserve">第一条 </w:t>
      </w:r>
      <w:r>
        <w:rPr>
          <w:rFonts w:hint="eastAsia" w:ascii="仿宋_GB2312" w:hAnsi="仿宋_GB2312" w:eastAsia="仿宋_GB2312" w:cs="仿宋_GB2312"/>
          <w:bCs/>
          <w:iCs/>
          <w:snapToGrid w:val="0"/>
          <w:sz w:val="32"/>
          <w:szCs w:val="32"/>
        </w:rPr>
        <w:t>为全面贯彻落实全市“工业强市、产业兴市”战略，聚焦“先把经济搞上去、集中精力强工业”方向，高质量打造“枣办好”政务服务品牌，推动重点项目“绿色通道”审批，制定本办法。</w:t>
      </w:r>
    </w:p>
    <w:p>
      <w:pPr>
        <w:widowControl w:val="0"/>
        <w:spacing w:after="0" w:line="560" w:lineRule="exact"/>
        <w:ind w:firstLine="643" w:firstLineChars="200"/>
        <w:jc w:val="both"/>
        <w:rPr>
          <w:rFonts w:hint="eastAsia" w:ascii="仿宋_GB2312" w:hAnsi="仿宋_GB2312" w:eastAsia="仿宋_GB2312" w:cs="仿宋_GB2312"/>
          <w:color w:val="0000FF"/>
          <w:sz w:val="32"/>
          <w:szCs w:val="32"/>
          <w:u w:val="single"/>
        </w:rPr>
      </w:pPr>
      <w:r>
        <w:rPr>
          <w:rFonts w:hint="eastAsia" w:ascii="仿宋_GB2312" w:hAnsi="仿宋_GB2312" w:eastAsia="仿宋_GB2312" w:cs="仿宋_GB2312"/>
          <w:b/>
          <w:bCs/>
          <w:sz w:val="32"/>
          <w:szCs w:val="32"/>
        </w:rPr>
        <w:t>第二条</w:t>
      </w:r>
      <w:r>
        <w:rPr>
          <w:rFonts w:hint="eastAsia" w:ascii="仿宋_GB2312" w:hAnsi="仿宋_GB2312" w:eastAsia="仿宋_GB2312" w:cs="仿宋_GB2312"/>
          <w:sz w:val="32"/>
          <w:szCs w:val="32"/>
        </w:rPr>
        <w:t xml:space="preserve"> 在我市市级重点投资建设项目，带动产业发展和城市转型的重大项目，可适用本办法。</w:t>
      </w:r>
    </w:p>
    <w:p>
      <w:pPr>
        <w:widowControl w:val="0"/>
        <w:spacing w:after="0" w:line="560" w:lineRule="exact"/>
        <w:ind w:firstLine="643"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第三条</w:t>
      </w:r>
      <w:r>
        <w:rPr>
          <w:rFonts w:hint="eastAsia" w:ascii="仿宋_GB2312" w:hAnsi="仿宋_GB2312" w:eastAsia="仿宋_GB2312" w:cs="仿宋_GB2312"/>
          <w:sz w:val="32"/>
          <w:szCs w:val="32"/>
        </w:rPr>
        <w:t xml:space="preserve"> 各窗口对进入“绿色通道”审批的重大投资项目，在法律法规和政策允许的范围内，审批过程应遵循以下原则：</w:t>
      </w:r>
    </w:p>
    <w:p>
      <w:pPr>
        <w:widowControl w:val="0"/>
        <w:spacing w:after="0"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（一）从简从快原则。对进入“绿色通道”项目，通过“急事急办、特事特办、容缺受理、并联审批、上门服务、预约服务”以及专人督办等措施，简化手续，从快办理。</w:t>
      </w:r>
    </w:p>
    <w:p>
      <w:pPr>
        <w:widowControl w:val="0"/>
        <w:spacing w:after="0"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（二）一次性告知原则。对进入“绿色通道”项目，实行将审批所涉及的申报材料、审批部门、审批程序、办理时限和收费标准等一次性告知申请人。申请材料不齐全或者不符合法</w:t>
      </w:r>
      <w:r>
        <w:rPr>
          <w:rFonts w:hint="eastAsia" w:ascii="仿宋_GB2312" w:hAnsi="仿宋_GB2312" w:eastAsia="仿宋_GB2312" w:cs="仿宋_GB2312"/>
          <w:spacing w:val="-6"/>
          <w:sz w:val="32"/>
          <w:szCs w:val="32"/>
        </w:rPr>
        <w:t>定形式的，应当场一次性告知申请人需要补齐补正的全部内容</w:t>
      </w:r>
      <w:r>
        <w:rPr>
          <w:rFonts w:hint="eastAsia" w:ascii="仿宋_GB2312" w:hAnsi="仿宋_GB2312" w:eastAsia="仿宋_GB2312" w:cs="仿宋_GB2312"/>
          <w:sz w:val="32"/>
          <w:szCs w:val="32"/>
        </w:rPr>
        <w:t>。</w:t>
      </w:r>
    </w:p>
    <w:p>
      <w:pPr>
        <w:widowControl w:val="0"/>
        <w:spacing w:after="0"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限时办结原则。对进入“绿色通道”项目，均实行限时承诺服务。审批权限内各审批环节的审批时限，除依法须听证、招标、拍卖、鉴定和专家评审所需时间外，应在原承诺时限的基础上缩短三分之一或按项目联审会议确定的时限执行。</w:t>
      </w:r>
    </w:p>
    <w:p>
      <w:pPr>
        <w:widowControl w:val="0"/>
        <w:spacing w:after="0"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（四）超时问责原则。对进入“绿色通道”项目，审批所涉及窗口，在承诺办理时限内既无异议又不反馈审批结果的，对当事人和窗口负责人实行超时问责。</w:t>
      </w:r>
    </w:p>
    <w:p>
      <w:pPr>
        <w:widowControl w:val="0"/>
        <w:spacing w:after="0"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容缺审查原则。对进入“绿色通道”项目，项目单位提交的材料若缺少实质性要件以外的材料，在项目单位作出书面补齐承诺的前提下，审批部门可先行受理、审查，出具初步审查意见。当项目单位申报材料齐全、达到法定条件后，再</w:t>
      </w:r>
      <w:r>
        <w:rPr>
          <w:rFonts w:hint="eastAsia" w:ascii="仿宋_GB2312" w:hAnsi="仿宋_GB2312" w:eastAsia="仿宋_GB2312" w:cs="仿宋_GB2312"/>
          <w:spacing w:val="-6"/>
          <w:sz w:val="32"/>
          <w:szCs w:val="32"/>
        </w:rPr>
        <w:t>由审批部门根据初步审查意见，按法定程序出具正式批准文件</w:t>
      </w:r>
      <w:r>
        <w:rPr>
          <w:rFonts w:hint="eastAsia" w:ascii="仿宋_GB2312" w:hAnsi="仿宋_GB2312" w:eastAsia="仿宋_GB2312" w:cs="仿宋_GB2312"/>
          <w:sz w:val="32"/>
          <w:szCs w:val="32"/>
        </w:rPr>
        <w:t>。</w:t>
      </w:r>
    </w:p>
    <w:p>
      <w:pPr>
        <w:pStyle w:val="3"/>
        <w:widowControl w:val="0"/>
        <w:spacing w:after="0"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（六）联审联办原则。</w:t>
      </w:r>
      <w:r>
        <w:rPr>
          <w:rFonts w:hint="eastAsia" w:ascii="仿宋_GB2312" w:hAnsi="仿宋_GB2312" w:eastAsia="仿宋_GB2312" w:cs="仿宋_GB2312"/>
          <w:kern w:val="2"/>
          <w:sz w:val="32"/>
          <w:szCs w:val="32"/>
        </w:rPr>
        <w:t>对进入“绿色通道”项目，涉及两个（含两个）以上窗口出现衔接、办理等问题的审批事项，经项目单位申请，由市审批服务局牵头，</w:t>
      </w:r>
      <w:r>
        <w:rPr>
          <w:rFonts w:hint="eastAsia" w:ascii="仿宋_GB2312" w:hAnsi="仿宋_GB2312" w:eastAsia="仿宋_GB2312" w:cs="仿宋_GB2312"/>
          <w:sz w:val="32"/>
          <w:szCs w:val="32"/>
        </w:rPr>
        <w:t>组织相关窗口负责人召开联审联办会议，根据项目的特点，确定办理流程，列出报批事项的申报材料和办理时限，同时告知报批过程中需要注意的事项。对项目在审批过程中遇到疑难问题，相关窗口集中会审解决，出具联审联办会议纪要，并落实会议纪要内容。</w:t>
      </w:r>
    </w:p>
    <w:p>
      <w:pPr>
        <w:widowControl w:val="0"/>
        <w:spacing w:after="0" w:line="560" w:lineRule="exact"/>
        <w:ind w:firstLine="643" w:firstLineChars="200"/>
        <w:jc w:val="both"/>
        <w:rPr>
          <w:rFonts w:hint="eastAsia" w:ascii="黑体" w:hAnsi="黑体" w:eastAsia="黑体" w:cs="仿宋_GB2312"/>
          <w:bCs/>
          <w:sz w:val="32"/>
          <w:szCs w:val="32"/>
        </w:rPr>
      </w:pPr>
      <w:r>
        <w:rPr>
          <w:rFonts w:hint="eastAsia" w:ascii="仿宋_GB2312" w:hAnsi="仿宋_GB2312" w:eastAsia="仿宋_GB2312" w:cs="仿宋_GB2312"/>
          <w:b/>
          <w:bCs/>
          <w:sz w:val="32"/>
          <w:szCs w:val="32"/>
        </w:rPr>
        <w:t>第四条</w:t>
      </w:r>
      <w:r>
        <w:rPr>
          <w:rFonts w:hint="eastAsia" w:ascii="仿宋_GB2312" w:hAnsi="仿宋_GB2312" w:eastAsia="仿宋_GB2312" w:cs="仿宋_GB2312"/>
          <w:sz w:val="32"/>
          <w:szCs w:val="32"/>
        </w:rPr>
        <w:t xml:space="preserve"> 在市审批服务局设立“绿色通道”服务窗口，负责“绿色通道”项目申请的受理和咨询工作，确认进入“绿色通道”的资格，启动“绿色通道”程序。不属于“绿色通道”服务范围的项目，按正常程序办理。</w:t>
      </w:r>
    </w:p>
    <w:p>
      <w:pPr>
        <w:widowControl w:val="0"/>
        <w:spacing w:after="0" w:line="560" w:lineRule="exact"/>
        <w:jc w:val="center"/>
        <w:rPr>
          <w:rFonts w:hint="eastAsia" w:ascii="黑体" w:hAnsi="黑体" w:eastAsia="黑体" w:cs="仿宋_GB2312"/>
          <w:bCs/>
          <w:sz w:val="32"/>
          <w:szCs w:val="32"/>
        </w:rPr>
      </w:pPr>
      <w:r>
        <w:rPr>
          <w:rFonts w:hint="eastAsia" w:ascii="黑体" w:hAnsi="黑体" w:eastAsia="黑体" w:cs="仿宋_GB2312"/>
          <w:bCs/>
          <w:sz w:val="32"/>
          <w:szCs w:val="32"/>
        </w:rPr>
        <w:t>第二章  项目实施</w:t>
      </w:r>
    </w:p>
    <w:p>
      <w:pPr>
        <w:widowControl w:val="0"/>
        <w:spacing w:after="0" w:line="560" w:lineRule="exact"/>
        <w:ind w:firstLine="643"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第五条</w:t>
      </w:r>
      <w:r>
        <w:rPr>
          <w:rFonts w:hint="eastAsia" w:ascii="仿宋_GB2312" w:hAnsi="仿宋_GB2312" w:eastAsia="仿宋_GB2312" w:cs="仿宋_GB2312"/>
          <w:sz w:val="32"/>
          <w:szCs w:val="32"/>
        </w:rPr>
        <w:t xml:space="preserve"> 列入“绿色通道”的重大项目审批，以项目立项为起始环节，至领取施工许可证为终止环节。</w:t>
      </w:r>
    </w:p>
    <w:p>
      <w:pPr>
        <w:widowControl w:val="0"/>
        <w:spacing w:after="0" w:line="560" w:lineRule="exact"/>
        <w:ind w:firstLine="643"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第六条</w:t>
      </w:r>
      <w:r>
        <w:rPr>
          <w:rFonts w:hint="eastAsia" w:ascii="仿宋_GB2312" w:hAnsi="仿宋_GB2312" w:eastAsia="仿宋_GB2312" w:cs="仿宋_GB2312"/>
          <w:sz w:val="32"/>
          <w:szCs w:val="32"/>
        </w:rPr>
        <w:t xml:space="preserve"> 市审批服务局重点项目审批窗口作为“绿色通道”项目首受窗口，接申请后，对项目材料进行审查，对符合受理条件的项目发放并填写由市审批服务局统一印制的《重点项目审批“绿色通道”受理表》（附件），进行统一登记，同时将材料分发相关窗口，实施并联审批，各窗口优先办理“绿色通道”项目。</w:t>
      </w:r>
    </w:p>
    <w:p>
      <w:pPr>
        <w:pStyle w:val="3"/>
        <w:widowControl w:val="0"/>
        <w:spacing w:after="0" w:line="560" w:lineRule="exact"/>
        <w:ind w:firstLine="643" w:firstLineChars="200"/>
        <w:jc w:val="both"/>
        <w:rPr>
          <w:rFonts w:hint="eastAsia" w:ascii="仿宋_GB2312" w:hAnsi="仿宋_GB2312" w:eastAsia="仿宋_GB2312" w:cs="仿宋_GB2312"/>
          <w:kern w:val="2"/>
          <w:sz w:val="32"/>
          <w:szCs w:val="32"/>
        </w:rPr>
      </w:pPr>
      <w:r>
        <w:rPr>
          <w:rFonts w:hint="eastAsia" w:ascii="仿宋_GB2312" w:hAnsi="仿宋_GB2312" w:eastAsia="仿宋_GB2312" w:cs="仿宋_GB2312"/>
          <w:b/>
          <w:bCs/>
          <w:sz w:val="32"/>
          <w:szCs w:val="32"/>
        </w:rPr>
        <w:t>第七条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kern w:val="2"/>
          <w:sz w:val="32"/>
          <w:szCs w:val="32"/>
        </w:rPr>
        <w:t>对正式进入“绿色通道”的项目，由市审批服务局牵头，会同相关审批窗口组织实施并联审批。</w:t>
      </w:r>
    </w:p>
    <w:p>
      <w:pPr>
        <w:widowControl w:val="0"/>
        <w:spacing w:after="0" w:line="560" w:lineRule="exact"/>
        <w:ind w:firstLine="643"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第八条</w:t>
      </w:r>
      <w:r>
        <w:rPr>
          <w:rFonts w:hint="eastAsia" w:ascii="仿宋_GB2312" w:hAnsi="仿宋_GB2312" w:eastAsia="仿宋_GB2312" w:cs="仿宋_GB2312"/>
          <w:sz w:val="32"/>
          <w:szCs w:val="32"/>
        </w:rPr>
        <w:t xml:space="preserve"> 凡进入“绿色通道”的审批项目，要急事急办，特事特办，办完即转。需踏勘的，原则上在收件当天进行，如需多个窗口联合踏勘或召开联审会议的，由市审批服务局组织实施。</w:t>
      </w:r>
    </w:p>
    <w:p>
      <w:pPr>
        <w:widowControl w:val="0"/>
        <w:spacing w:after="0" w:line="560" w:lineRule="exact"/>
        <w:ind w:firstLine="643" w:firstLineChars="200"/>
        <w:jc w:val="both"/>
        <w:rPr>
          <w:rFonts w:hint="eastAsia"/>
        </w:rPr>
      </w:pPr>
      <w:r>
        <w:rPr>
          <w:rFonts w:hint="eastAsia" w:ascii="仿宋_GB2312" w:hAnsi="仿宋_GB2312" w:eastAsia="仿宋_GB2312" w:cs="仿宋_GB2312"/>
          <w:b/>
          <w:bCs/>
          <w:sz w:val="32"/>
          <w:szCs w:val="32"/>
        </w:rPr>
        <w:t>第九条</w:t>
      </w:r>
      <w:r>
        <w:rPr>
          <w:rFonts w:hint="eastAsia" w:ascii="仿宋_GB2312" w:hAnsi="仿宋_GB2312" w:eastAsia="仿宋_GB2312" w:cs="仿宋_GB2312"/>
          <w:sz w:val="32"/>
          <w:szCs w:val="32"/>
        </w:rPr>
        <w:t xml:space="preserve"> 各窗口在收到《重点项目审批“绿色通道”受理表》后，在受理表上签注受理时间和办结时间，做好相应的项目登记工作。</w:t>
      </w:r>
    </w:p>
    <w:p>
      <w:pPr>
        <w:widowControl w:val="0"/>
        <w:spacing w:after="0" w:line="560" w:lineRule="exact"/>
        <w:jc w:val="center"/>
        <w:rPr>
          <w:rFonts w:hint="eastAsia" w:ascii="仿宋_GB2312" w:hAnsi="仿宋_GB2312" w:eastAsia="仿宋_GB2312" w:cs="仿宋_GB2312"/>
          <w:b/>
          <w:bCs/>
          <w:sz w:val="32"/>
          <w:szCs w:val="32"/>
        </w:rPr>
      </w:pPr>
      <w:r>
        <w:rPr>
          <w:rFonts w:hint="eastAsia" w:ascii="黑体" w:hAnsi="黑体" w:eastAsia="黑体" w:cs="仿宋_GB2312"/>
          <w:bCs/>
          <w:sz w:val="32"/>
          <w:szCs w:val="32"/>
        </w:rPr>
        <w:t>第三章  项目管理</w:t>
      </w:r>
    </w:p>
    <w:p>
      <w:pPr>
        <w:widowControl w:val="0"/>
        <w:spacing w:after="0" w:line="560" w:lineRule="exact"/>
        <w:ind w:firstLine="643"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第十条</w:t>
      </w:r>
      <w:r>
        <w:rPr>
          <w:rFonts w:hint="eastAsia" w:ascii="仿宋_GB2312" w:hAnsi="仿宋_GB2312" w:eastAsia="仿宋_GB2312" w:cs="仿宋_GB2312"/>
          <w:sz w:val="32"/>
          <w:szCs w:val="32"/>
        </w:rPr>
        <w:t xml:space="preserve"> 对“绿色通道”项目，各有关窗口人员必须从快办理，对条件具备、申报材料齐全的项目应即时办理，主动做好服务工作，保证“绿色通道”工作顺利进行。</w:t>
      </w:r>
    </w:p>
    <w:p>
      <w:pPr>
        <w:widowControl w:val="0"/>
        <w:spacing w:after="0" w:line="560" w:lineRule="exact"/>
        <w:ind w:firstLine="643"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第十一条</w:t>
      </w:r>
      <w:r>
        <w:rPr>
          <w:rFonts w:hint="eastAsia" w:ascii="仿宋_GB2312" w:hAnsi="仿宋_GB2312" w:eastAsia="仿宋_GB2312" w:cs="仿宋_GB2312"/>
          <w:sz w:val="32"/>
          <w:szCs w:val="32"/>
        </w:rPr>
        <w:t xml:space="preserve"> 市审批服务局将对进入“绿色通道”的审批项目进行全程跟踪服务，及时掌握项目的审批进度，向建设单位反馈，同时积极协调审批过程中出现的各种问题。各窗口要进一步优化内部审批程序，落实责任到人，指定专人督办；窗口间要加强沟通、密切配合、通力协作，确保“绿色通道”畅通高效地运行。</w:t>
      </w:r>
    </w:p>
    <w:p>
      <w:pPr>
        <w:widowControl w:val="0"/>
        <w:spacing w:after="0" w:line="560" w:lineRule="exact"/>
        <w:ind w:firstLine="643"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第十二条</w:t>
      </w:r>
      <w:r>
        <w:rPr>
          <w:rFonts w:hint="eastAsia" w:ascii="仿宋_GB2312" w:hAnsi="仿宋_GB2312" w:eastAsia="仿宋_GB2312" w:cs="仿宋_GB2312"/>
          <w:sz w:val="32"/>
          <w:szCs w:val="32"/>
        </w:rPr>
        <w:t xml:space="preserve"> 项目审批过程中需中介服务机构提供与行政审批有关的服务时，由申请人自行选择中介服务机构，各窗口不得向申请人指定。各中介服务机构在为项目提供与行政审批有关的评审、审计、评估、项目招投标等各类服务时，应按照“绿色通道”工作的基本要求，提高工作效率。</w:t>
      </w:r>
    </w:p>
    <w:p>
      <w:pPr>
        <w:widowControl w:val="0"/>
        <w:spacing w:after="0" w:line="560" w:lineRule="exact"/>
        <w:ind w:firstLine="643"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第十三条</w:t>
      </w:r>
      <w:r>
        <w:rPr>
          <w:rFonts w:hint="eastAsia" w:ascii="仿宋_GB2312" w:hAnsi="仿宋_GB2312" w:eastAsia="仿宋_GB2312" w:cs="仿宋_GB2312"/>
          <w:sz w:val="32"/>
          <w:szCs w:val="32"/>
        </w:rPr>
        <w:t xml:space="preserve"> 严格考核通报，将列入“绿色通道”的重大项目审批手续办理情况列入市审批服务局对各窗口和进驻人员考核范围，纳入年度考核成绩。</w:t>
      </w:r>
    </w:p>
    <w:p>
      <w:pPr>
        <w:widowControl w:val="0"/>
        <w:spacing w:after="0" w:line="560" w:lineRule="exact"/>
        <w:ind w:firstLine="643"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第十四条</w:t>
      </w:r>
      <w:r>
        <w:rPr>
          <w:rFonts w:hint="eastAsia" w:ascii="仿宋_GB2312" w:hAnsi="仿宋_GB2312" w:eastAsia="仿宋_GB2312" w:cs="仿宋_GB2312"/>
          <w:sz w:val="32"/>
          <w:szCs w:val="32"/>
        </w:rPr>
        <w:t xml:space="preserve"> 本办法由市审批服务局负责解释。</w:t>
      </w:r>
    </w:p>
    <w:p>
      <w:pPr>
        <w:widowControl w:val="0"/>
        <w:spacing w:after="0" w:line="560" w:lineRule="exact"/>
        <w:ind w:firstLine="643"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第十五条</w:t>
      </w:r>
      <w:r>
        <w:rPr>
          <w:rFonts w:hint="eastAsia" w:ascii="仿宋_GB2312" w:hAnsi="仿宋_GB2312" w:eastAsia="仿宋_GB2312" w:cs="仿宋_GB2312"/>
          <w:sz w:val="32"/>
          <w:szCs w:val="32"/>
        </w:rPr>
        <w:t xml:space="preserve"> 本办法自 2021年3月22日起施行。</w:t>
      </w:r>
    </w:p>
    <w:p>
      <w:pPr>
        <w:pStyle w:val="2"/>
        <w:spacing w:line="560" w:lineRule="exact"/>
        <w:ind w:firstLine="640"/>
        <w:rPr>
          <w:rFonts w:hint="eastAsia"/>
        </w:rPr>
      </w:pPr>
    </w:p>
    <w:p>
      <w:pPr>
        <w:widowControl w:val="0"/>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附件：枣庄市行政审批服务局重点项目审批“绿色通道”受理表</w:t>
      </w:r>
    </w:p>
    <w:p>
      <w:pPr>
        <w:widowControl w:val="0"/>
        <w:spacing w:line="560" w:lineRule="exact"/>
        <w:rPr>
          <w:rFonts w:hint="eastAsia" w:ascii="黑体" w:hAnsi="黑体" w:eastAsia="黑体" w:cs="黑体"/>
          <w:sz w:val="32"/>
          <w:szCs w:val="32"/>
        </w:rPr>
      </w:pPr>
    </w:p>
    <w:p>
      <w:pPr>
        <w:widowControl w:val="0"/>
        <w:spacing w:line="560" w:lineRule="exact"/>
        <w:rPr>
          <w:rFonts w:ascii="黑体" w:hAnsi="黑体" w:eastAsia="黑体" w:cs="黑体"/>
          <w:sz w:val="32"/>
          <w:szCs w:val="32"/>
        </w:rPr>
      </w:pPr>
    </w:p>
    <w:p>
      <w:pPr>
        <w:pStyle w:val="2"/>
        <w:ind w:firstLine="640"/>
      </w:pPr>
    </w:p>
    <w:p>
      <w:pPr>
        <w:pStyle w:val="2"/>
        <w:ind w:firstLine="640"/>
      </w:pPr>
    </w:p>
    <w:p>
      <w:pPr>
        <w:pStyle w:val="2"/>
        <w:ind w:firstLine="640"/>
      </w:pPr>
    </w:p>
    <w:p>
      <w:pPr>
        <w:pStyle w:val="2"/>
        <w:ind w:firstLine="640"/>
      </w:pPr>
    </w:p>
    <w:p>
      <w:pPr>
        <w:pStyle w:val="2"/>
        <w:ind w:firstLine="640"/>
        <w:rPr>
          <w:rFonts w:hint="eastAsia"/>
        </w:rPr>
      </w:pPr>
    </w:p>
    <w:p>
      <w:pPr>
        <w:widowControl w:val="0"/>
        <w:spacing w:line="560" w:lineRule="exact"/>
        <w:rPr>
          <w:rFonts w:hint="eastAsia" w:ascii="黑体" w:hAnsi="黑体" w:eastAsia="黑体" w:cs="黑体"/>
          <w:sz w:val="32"/>
          <w:szCs w:val="32"/>
        </w:rPr>
      </w:pPr>
      <w:r>
        <w:rPr>
          <w:rFonts w:hint="eastAsia" w:ascii="黑体" w:hAnsi="黑体" w:eastAsia="黑体" w:cs="黑体"/>
          <w:sz w:val="32"/>
          <w:szCs w:val="32"/>
        </w:rPr>
        <w:t>附件：</w:t>
      </w:r>
    </w:p>
    <w:p>
      <w:pPr>
        <w:pStyle w:val="2"/>
        <w:ind w:firstLine="640"/>
        <w:rPr>
          <w:rFonts w:hint="eastAsia"/>
        </w:rPr>
      </w:pPr>
    </w:p>
    <w:p>
      <w:pPr>
        <w:spacing w:after="0" w:line="560" w:lineRule="exact"/>
        <w:ind w:firstLine="440" w:firstLineChars="100"/>
        <w:jc w:val="center"/>
        <w:rPr>
          <w:rFonts w:hint="eastAsia"/>
        </w:rPr>
      </w:pPr>
      <w:r>
        <w:rPr>
          <w:rFonts w:hint="eastAsia" w:ascii="方正小标宋简体" w:hAnsi="方正小标宋简体" w:eastAsia="方正小标宋简体" w:cs="方正小标宋简体"/>
          <w:sz w:val="44"/>
          <w:szCs w:val="44"/>
        </w:rPr>
        <w:t>枣庄市行政审批服务局</w:t>
      </w:r>
    </w:p>
    <w:p>
      <w:pPr>
        <w:widowControl w:val="0"/>
        <w:spacing w:after="0" w:line="560" w:lineRule="exact"/>
        <w:jc w:val="center"/>
        <w:rPr>
          <w:rFonts w:hint="eastAsia" w:ascii="仿宋_GB2312" w:hAnsi="仿宋_GB2312" w:eastAsia="仿宋_GB2312" w:cs="仿宋_GB2312"/>
          <w:sz w:val="28"/>
          <w:szCs w:val="28"/>
        </w:rPr>
      </w:pPr>
      <w:r>
        <w:rPr>
          <w:rFonts w:hint="eastAsia" w:ascii="方正小标宋简体" w:hAnsi="方正小标宋简体" w:eastAsia="方正小标宋简体" w:cs="方正小标宋简体"/>
          <w:w w:val="95"/>
          <w:sz w:val="44"/>
          <w:szCs w:val="44"/>
        </w:rPr>
        <w:t>重点项目审批“绿色通道”受理表</w:t>
      </w:r>
    </w:p>
    <w:p>
      <w:pPr>
        <w:widowControl w:val="0"/>
        <w:spacing w:line="560" w:lineRule="exact"/>
        <w:ind w:firstLine="5880" w:firstLineChars="2100"/>
        <w:rPr>
          <w:rFonts w:hint="eastAsia" w:ascii="仿宋_GB2312" w:hAnsi="仿宋_GB2312" w:eastAsia="仿宋_GB2312" w:cs="仿宋_GB2312"/>
          <w:sz w:val="28"/>
          <w:szCs w:val="28"/>
        </w:rPr>
      </w:pPr>
    </w:p>
    <w:p>
      <w:pPr>
        <w:widowControl w:val="0"/>
        <w:spacing w:line="560" w:lineRule="exact"/>
        <w:ind w:firstLine="5880" w:firstLineChars="2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编号：</w:t>
      </w:r>
    </w:p>
    <w:tbl>
      <w:tblPr>
        <w:tblStyle w:val="8"/>
        <w:tblW w:w="89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1438"/>
        <w:gridCol w:w="2347"/>
        <w:gridCol w:w="616"/>
        <w:gridCol w:w="1218"/>
        <w:gridCol w:w="1197"/>
        <w:gridCol w:w="1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2363" w:type="dxa"/>
            <w:gridSpan w:val="2"/>
            <w:noWrap w:val="0"/>
            <w:vAlign w:val="center"/>
          </w:tcPr>
          <w:p>
            <w:pPr>
              <w:widowControl w:val="0"/>
              <w:spacing w:line="400" w:lineRule="exact"/>
              <w:jc w:val="center"/>
              <w:rPr>
                <w:rFonts w:hint="eastAsia" w:ascii="黑体" w:hAnsi="黑体" w:eastAsia="黑体" w:cs="黑体"/>
                <w:sz w:val="28"/>
                <w:szCs w:val="28"/>
              </w:rPr>
            </w:pPr>
            <w:r>
              <w:rPr>
                <w:rFonts w:hint="eastAsia" w:ascii="黑体" w:hAnsi="黑体" w:eastAsia="黑体" w:cs="黑体"/>
                <w:sz w:val="28"/>
                <w:szCs w:val="28"/>
              </w:rPr>
              <w:t>项目名称</w:t>
            </w:r>
          </w:p>
          <w:p>
            <w:pPr>
              <w:widowControl w:val="0"/>
              <w:spacing w:line="400" w:lineRule="exact"/>
              <w:jc w:val="center"/>
              <w:rPr>
                <w:rFonts w:hint="eastAsia" w:ascii="黑体" w:hAnsi="黑体" w:eastAsia="黑体" w:cs="黑体"/>
                <w:sz w:val="28"/>
                <w:szCs w:val="28"/>
              </w:rPr>
            </w:pPr>
            <w:r>
              <w:rPr>
                <w:rFonts w:hint="eastAsia" w:ascii="黑体" w:hAnsi="黑体" w:eastAsia="黑体" w:cs="黑体"/>
                <w:sz w:val="28"/>
                <w:szCs w:val="28"/>
              </w:rPr>
              <w:t>（企业名称）</w:t>
            </w:r>
          </w:p>
        </w:tc>
        <w:tc>
          <w:tcPr>
            <w:tcW w:w="6602" w:type="dxa"/>
            <w:gridSpan w:val="5"/>
            <w:noWrap w:val="0"/>
            <w:vAlign w:val="center"/>
          </w:tcPr>
          <w:p>
            <w:pPr>
              <w:widowControl w:val="0"/>
              <w:spacing w:line="40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363" w:type="dxa"/>
            <w:gridSpan w:val="2"/>
            <w:noWrap w:val="0"/>
            <w:vAlign w:val="center"/>
          </w:tcPr>
          <w:p>
            <w:pPr>
              <w:widowControl w:val="0"/>
              <w:spacing w:line="400" w:lineRule="exact"/>
              <w:jc w:val="center"/>
              <w:rPr>
                <w:rFonts w:hint="eastAsia" w:ascii="黑体" w:hAnsi="黑体" w:eastAsia="黑体" w:cs="黑体"/>
                <w:sz w:val="28"/>
                <w:szCs w:val="28"/>
              </w:rPr>
            </w:pPr>
            <w:r>
              <w:rPr>
                <w:rFonts w:hint="eastAsia" w:ascii="黑体" w:hAnsi="黑体" w:eastAsia="黑体" w:cs="黑体"/>
                <w:sz w:val="28"/>
                <w:szCs w:val="28"/>
              </w:rPr>
              <w:t>联系人姓名</w:t>
            </w:r>
          </w:p>
        </w:tc>
        <w:tc>
          <w:tcPr>
            <w:tcW w:w="2347" w:type="dxa"/>
            <w:noWrap w:val="0"/>
            <w:vAlign w:val="center"/>
          </w:tcPr>
          <w:p>
            <w:pPr>
              <w:widowControl w:val="0"/>
              <w:spacing w:line="400" w:lineRule="exact"/>
              <w:jc w:val="center"/>
              <w:rPr>
                <w:rFonts w:hint="eastAsia" w:ascii="仿宋_GB2312" w:hAnsi="仿宋_GB2312" w:eastAsia="仿宋_GB2312" w:cs="仿宋_GB2312"/>
                <w:sz w:val="28"/>
                <w:szCs w:val="28"/>
              </w:rPr>
            </w:pPr>
          </w:p>
        </w:tc>
        <w:tc>
          <w:tcPr>
            <w:tcW w:w="1834" w:type="dxa"/>
            <w:gridSpan w:val="2"/>
            <w:noWrap w:val="0"/>
            <w:vAlign w:val="center"/>
          </w:tcPr>
          <w:p>
            <w:pPr>
              <w:widowControl w:val="0"/>
              <w:spacing w:line="400" w:lineRule="exact"/>
              <w:jc w:val="center"/>
              <w:rPr>
                <w:rFonts w:hint="eastAsia" w:ascii="仿宋_GB2312" w:hAnsi="仿宋_GB2312" w:eastAsia="仿宋_GB2312" w:cs="仿宋_GB2312"/>
                <w:sz w:val="28"/>
                <w:szCs w:val="28"/>
              </w:rPr>
            </w:pPr>
            <w:r>
              <w:rPr>
                <w:rFonts w:hint="eastAsia" w:ascii="黑体" w:hAnsi="黑体" w:eastAsia="黑体" w:cs="黑体"/>
                <w:sz w:val="28"/>
                <w:szCs w:val="28"/>
              </w:rPr>
              <w:t>联系人电话</w:t>
            </w:r>
          </w:p>
        </w:tc>
        <w:tc>
          <w:tcPr>
            <w:tcW w:w="2421" w:type="dxa"/>
            <w:gridSpan w:val="2"/>
            <w:noWrap w:val="0"/>
            <w:vAlign w:val="center"/>
          </w:tcPr>
          <w:p>
            <w:pPr>
              <w:widowControl w:val="0"/>
              <w:spacing w:line="40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2363" w:type="dxa"/>
            <w:gridSpan w:val="2"/>
            <w:noWrap w:val="0"/>
            <w:vAlign w:val="center"/>
          </w:tcPr>
          <w:p>
            <w:pPr>
              <w:widowControl w:val="0"/>
              <w:spacing w:line="400" w:lineRule="exact"/>
              <w:jc w:val="center"/>
              <w:rPr>
                <w:rFonts w:hint="eastAsia" w:ascii="仿宋_GB2312" w:hAnsi="仿宋_GB2312" w:eastAsia="仿宋_GB2312" w:cs="仿宋_GB2312"/>
                <w:sz w:val="28"/>
                <w:szCs w:val="28"/>
              </w:rPr>
            </w:pPr>
            <w:r>
              <w:rPr>
                <w:rFonts w:hint="eastAsia" w:ascii="黑体" w:hAnsi="黑体" w:eastAsia="黑体" w:cs="黑体"/>
                <w:sz w:val="28"/>
                <w:szCs w:val="28"/>
              </w:rPr>
              <w:t>项目情况（在序号前打“√”）</w:t>
            </w:r>
          </w:p>
        </w:tc>
        <w:tc>
          <w:tcPr>
            <w:tcW w:w="6602" w:type="dxa"/>
            <w:gridSpan w:val="5"/>
            <w:noWrap w:val="0"/>
            <w:vAlign w:val="top"/>
          </w:tcPr>
          <w:p>
            <w:pPr>
              <w:keepNext w:val="0"/>
              <w:keepLines w:val="0"/>
              <w:pageBreakBefore w:val="0"/>
              <w:widowControl w:val="0"/>
              <w:kinsoku/>
              <w:wordWrap/>
              <w:overflowPunct/>
              <w:topLinePunct w:val="0"/>
              <w:autoSpaceDE/>
              <w:autoSpaceDN/>
              <w:bidi w:val="0"/>
              <w:adjustRightInd w:val="0"/>
              <w:snapToGrid w:val="0"/>
              <w:spacing w:after="0" w:line="40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1.市级重点投资建设项目</w:t>
            </w:r>
          </w:p>
          <w:p>
            <w:pPr>
              <w:keepNext w:val="0"/>
              <w:keepLines w:val="0"/>
              <w:pageBreakBefore w:val="0"/>
              <w:widowControl w:val="0"/>
              <w:kinsoku/>
              <w:wordWrap/>
              <w:overflowPunct/>
              <w:topLinePunct w:val="0"/>
              <w:autoSpaceDE/>
              <w:autoSpaceDN/>
              <w:bidi w:val="0"/>
              <w:adjustRightInd w:val="0"/>
              <w:snapToGrid w:val="0"/>
              <w:spacing w:after="0" w:line="40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2.带动产业发展和城市转型的重大项目</w:t>
            </w:r>
          </w:p>
          <w:p>
            <w:pPr>
              <w:keepNext w:val="0"/>
              <w:keepLines w:val="0"/>
              <w:pageBreakBefore w:val="0"/>
              <w:widowControl w:val="0"/>
              <w:kinsoku/>
              <w:wordWrap/>
              <w:overflowPunct/>
              <w:topLinePunct w:val="0"/>
              <w:autoSpaceDE/>
              <w:autoSpaceDN/>
              <w:bidi w:val="0"/>
              <w:adjustRightInd w:val="0"/>
              <w:snapToGrid w:val="0"/>
              <w:spacing w:after="0" w:line="40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3.市委、市政府确定的其他项目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925" w:type="dxa"/>
            <w:noWrap w:val="0"/>
            <w:vAlign w:val="center"/>
          </w:tcPr>
          <w:p>
            <w:pPr>
              <w:widowControl w:val="0"/>
              <w:spacing w:line="400" w:lineRule="exact"/>
              <w:jc w:val="center"/>
              <w:rPr>
                <w:rFonts w:hint="eastAsia" w:ascii="黑体" w:hAnsi="黑体" w:eastAsia="黑体" w:cs="黑体"/>
                <w:sz w:val="28"/>
                <w:szCs w:val="28"/>
              </w:rPr>
            </w:pPr>
            <w:r>
              <w:rPr>
                <w:rFonts w:hint="eastAsia" w:ascii="黑体" w:hAnsi="黑体" w:eastAsia="黑体" w:cs="黑体"/>
                <w:sz w:val="28"/>
                <w:szCs w:val="28"/>
              </w:rPr>
              <w:t>序号</w:t>
            </w:r>
          </w:p>
        </w:tc>
        <w:tc>
          <w:tcPr>
            <w:tcW w:w="1438" w:type="dxa"/>
            <w:noWrap w:val="0"/>
            <w:vAlign w:val="center"/>
          </w:tcPr>
          <w:p>
            <w:pPr>
              <w:widowControl w:val="0"/>
              <w:spacing w:line="400" w:lineRule="exact"/>
              <w:jc w:val="center"/>
              <w:rPr>
                <w:rFonts w:hint="eastAsia" w:ascii="黑体" w:hAnsi="黑体" w:eastAsia="黑体" w:cs="黑体"/>
                <w:sz w:val="28"/>
                <w:szCs w:val="28"/>
              </w:rPr>
            </w:pPr>
            <w:r>
              <w:rPr>
                <w:rFonts w:hint="eastAsia" w:ascii="黑体" w:hAnsi="黑体" w:eastAsia="黑体" w:cs="黑体"/>
                <w:sz w:val="28"/>
                <w:szCs w:val="28"/>
              </w:rPr>
              <w:t>受理窗口</w:t>
            </w:r>
          </w:p>
        </w:tc>
        <w:tc>
          <w:tcPr>
            <w:tcW w:w="2963" w:type="dxa"/>
            <w:gridSpan w:val="2"/>
            <w:noWrap w:val="0"/>
            <w:vAlign w:val="center"/>
          </w:tcPr>
          <w:p>
            <w:pPr>
              <w:widowControl w:val="0"/>
              <w:spacing w:line="400" w:lineRule="exact"/>
              <w:jc w:val="center"/>
              <w:rPr>
                <w:rFonts w:hint="eastAsia" w:ascii="黑体" w:hAnsi="黑体" w:eastAsia="黑体" w:cs="黑体"/>
                <w:sz w:val="28"/>
                <w:szCs w:val="28"/>
              </w:rPr>
            </w:pPr>
            <w:r>
              <w:rPr>
                <w:rFonts w:hint="eastAsia" w:ascii="黑体" w:hAnsi="黑体" w:eastAsia="黑体" w:cs="黑体"/>
                <w:sz w:val="28"/>
                <w:szCs w:val="28"/>
              </w:rPr>
              <w:t>事项名称</w:t>
            </w:r>
          </w:p>
        </w:tc>
        <w:tc>
          <w:tcPr>
            <w:tcW w:w="1218" w:type="dxa"/>
            <w:noWrap w:val="0"/>
            <w:vAlign w:val="center"/>
          </w:tcPr>
          <w:p>
            <w:pPr>
              <w:widowControl w:val="0"/>
              <w:spacing w:line="400" w:lineRule="exact"/>
              <w:jc w:val="center"/>
              <w:rPr>
                <w:rFonts w:hint="eastAsia" w:ascii="黑体" w:hAnsi="黑体" w:eastAsia="黑体" w:cs="黑体"/>
                <w:sz w:val="28"/>
                <w:szCs w:val="28"/>
              </w:rPr>
            </w:pPr>
            <w:r>
              <w:rPr>
                <w:rFonts w:hint="eastAsia" w:ascii="黑体" w:hAnsi="黑体" w:eastAsia="黑体" w:cs="黑体"/>
                <w:sz w:val="28"/>
                <w:szCs w:val="28"/>
              </w:rPr>
              <w:t>受理</w:t>
            </w:r>
          </w:p>
          <w:p>
            <w:pPr>
              <w:widowControl w:val="0"/>
              <w:spacing w:line="400" w:lineRule="exact"/>
              <w:jc w:val="center"/>
              <w:rPr>
                <w:rFonts w:hint="eastAsia" w:ascii="黑体" w:hAnsi="黑体" w:eastAsia="黑体" w:cs="黑体"/>
                <w:sz w:val="28"/>
                <w:szCs w:val="28"/>
              </w:rPr>
            </w:pPr>
            <w:r>
              <w:rPr>
                <w:rFonts w:hint="eastAsia" w:ascii="黑体" w:hAnsi="黑体" w:eastAsia="黑体" w:cs="黑体"/>
                <w:sz w:val="28"/>
                <w:szCs w:val="28"/>
              </w:rPr>
              <w:t>时间</w:t>
            </w:r>
          </w:p>
        </w:tc>
        <w:tc>
          <w:tcPr>
            <w:tcW w:w="1197" w:type="dxa"/>
            <w:noWrap w:val="0"/>
            <w:vAlign w:val="center"/>
          </w:tcPr>
          <w:p>
            <w:pPr>
              <w:widowControl w:val="0"/>
              <w:spacing w:line="400" w:lineRule="exact"/>
              <w:jc w:val="center"/>
              <w:rPr>
                <w:rFonts w:hint="eastAsia" w:ascii="黑体" w:hAnsi="黑体" w:eastAsia="黑体" w:cs="黑体"/>
                <w:sz w:val="28"/>
                <w:szCs w:val="28"/>
              </w:rPr>
            </w:pPr>
            <w:r>
              <w:rPr>
                <w:rFonts w:hint="eastAsia" w:ascii="黑体" w:hAnsi="黑体" w:eastAsia="黑体" w:cs="黑体"/>
                <w:sz w:val="28"/>
                <w:szCs w:val="28"/>
              </w:rPr>
              <w:t>办结</w:t>
            </w:r>
          </w:p>
          <w:p>
            <w:pPr>
              <w:widowControl w:val="0"/>
              <w:spacing w:line="400" w:lineRule="exact"/>
              <w:jc w:val="center"/>
              <w:rPr>
                <w:rFonts w:hint="eastAsia" w:ascii="黑体" w:hAnsi="黑体" w:eastAsia="黑体" w:cs="黑体"/>
                <w:sz w:val="28"/>
                <w:szCs w:val="28"/>
              </w:rPr>
            </w:pPr>
            <w:r>
              <w:rPr>
                <w:rFonts w:hint="eastAsia" w:ascii="黑体" w:hAnsi="黑体" w:eastAsia="黑体" w:cs="黑体"/>
                <w:sz w:val="28"/>
                <w:szCs w:val="28"/>
              </w:rPr>
              <w:t>时间</w:t>
            </w:r>
          </w:p>
        </w:tc>
        <w:tc>
          <w:tcPr>
            <w:tcW w:w="1224" w:type="dxa"/>
            <w:noWrap w:val="0"/>
            <w:vAlign w:val="center"/>
          </w:tcPr>
          <w:p>
            <w:pPr>
              <w:widowControl w:val="0"/>
              <w:spacing w:line="400" w:lineRule="exact"/>
              <w:jc w:val="center"/>
              <w:rPr>
                <w:rFonts w:hint="eastAsia" w:ascii="黑体" w:hAnsi="黑体" w:eastAsia="黑体" w:cs="黑体"/>
                <w:sz w:val="28"/>
                <w:szCs w:val="28"/>
              </w:rPr>
            </w:pPr>
            <w:r>
              <w:rPr>
                <w:rFonts w:hint="eastAsia" w:ascii="黑体" w:hAnsi="黑体" w:eastAsia="黑体" w:cs="黑体"/>
                <w:sz w:val="28"/>
                <w:szCs w:val="28"/>
              </w:rPr>
              <w:t>经办人</w:t>
            </w:r>
          </w:p>
          <w:p>
            <w:pPr>
              <w:widowControl w:val="0"/>
              <w:spacing w:line="400" w:lineRule="exact"/>
              <w:jc w:val="center"/>
              <w:rPr>
                <w:rFonts w:hint="eastAsia" w:ascii="黑体" w:hAnsi="黑体" w:eastAsia="黑体" w:cs="黑体"/>
                <w:sz w:val="28"/>
                <w:szCs w:val="28"/>
              </w:rPr>
            </w:pPr>
            <w:r>
              <w:rPr>
                <w:rFonts w:hint="eastAsia" w:ascii="黑体" w:hAnsi="黑体" w:eastAsia="黑体" w:cs="黑体"/>
                <w:sz w:val="28"/>
                <w:szCs w:val="28"/>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25" w:type="dxa"/>
            <w:noWrap w:val="0"/>
            <w:vAlign w:val="center"/>
          </w:tcPr>
          <w:p>
            <w:pPr>
              <w:widowControl w:val="0"/>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1438" w:type="dxa"/>
            <w:noWrap w:val="0"/>
            <w:vAlign w:val="center"/>
          </w:tcPr>
          <w:p>
            <w:pPr>
              <w:widowControl w:val="0"/>
              <w:spacing w:line="400" w:lineRule="exact"/>
              <w:jc w:val="center"/>
              <w:rPr>
                <w:rFonts w:hint="eastAsia" w:ascii="仿宋_GB2312" w:hAnsi="仿宋_GB2312" w:eastAsia="仿宋_GB2312" w:cs="仿宋_GB2312"/>
                <w:sz w:val="28"/>
                <w:szCs w:val="28"/>
              </w:rPr>
            </w:pPr>
          </w:p>
        </w:tc>
        <w:tc>
          <w:tcPr>
            <w:tcW w:w="2963" w:type="dxa"/>
            <w:gridSpan w:val="2"/>
            <w:noWrap w:val="0"/>
            <w:vAlign w:val="center"/>
          </w:tcPr>
          <w:p>
            <w:pPr>
              <w:widowControl w:val="0"/>
              <w:spacing w:line="400" w:lineRule="exact"/>
              <w:jc w:val="center"/>
              <w:rPr>
                <w:rFonts w:hint="eastAsia" w:ascii="仿宋_GB2312" w:hAnsi="仿宋_GB2312" w:eastAsia="仿宋_GB2312" w:cs="仿宋_GB2312"/>
                <w:sz w:val="28"/>
                <w:szCs w:val="28"/>
              </w:rPr>
            </w:pPr>
          </w:p>
        </w:tc>
        <w:tc>
          <w:tcPr>
            <w:tcW w:w="1218" w:type="dxa"/>
            <w:noWrap w:val="0"/>
            <w:vAlign w:val="center"/>
          </w:tcPr>
          <w:p>
            <w:pPr>
              <w:widowControl w:val="0"/>
              <w:spacing w:line="400" w:lineRule="exact"/>
              <w:jc w:val="center"/>
              <w:rPr>
                <w:rFonts w:hint="eastAsia" w:ascii="仿宋_GB2312" w:hAnsi="仿宋_GB2312" w:eastAsia="仿宋_GB2312" w:cs="仿宋_GB2312"/>
                <w:sz w:val="28"/>
                <w:szCs w:val="28"/>
              </w:rPr>
            </w:pPr>
          </w:p>
        </w:tc>
        <w:tc>
          <w:tcPr>
            <w:tcW w:w="1197" w:type="dxa"/>
            <w:noWrap w:val="0"/>
            <w:vAlign w:val="center"/>
          </w:tcPr>
          <w:p>
            <w:pPr>
              <w:widowControl w:val="0"/>
              <w:spacing w:line="400" w:lineRule="exact"/>
              <w:jc w:val="center"/>
              <w:rPr>
                <w:rFonts w:hint="eastAsia" w:ascii="仿宋_GB2312" w:hAnsi="仿宋_GB2312" w:eastAsia="仿宋_GB2312" w:cs="仿宋_GB2312"/>
                <w:sz w:val="28"/>
                <w:szCs w:val="28"/>
              </w:rPr>
            </w:pPr>
          </w:p>
        </w:tc>
        <w:tc>
          <w:tcPr>
            <w:tcW w:w="1224" w:type="dxa"/>
            <w:noWrap w:val="0"/>
            <w:vAlign w:val="center"/>
          </w:tcPr>
          <w:p>
            <w:pPr>
              <w:widowControl w:val="0"/>
              <w:spacing w:line="40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925" w:type="dxa"/>
            <w:noWrap w:val="0"/>
            <w:vAlign w:val="center"/>
          </w:tcPr>
          <w:p>
            <w:pPr>
              <w:widowControl w:val="0"/>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1438" w:type="dxa"/>
            <w:noWrap w:val="0"/>
            <w:vAlign w:val="center"/>
          </w:tcPr>
          <w:p>
            <w:pPr>
              <w:widowControl w:val="0"/>
              <w:spacing w:line="400" w:lineRule="exact"/>
              <w:jc w:val="center"/>
              <w:rPr>
                <w:rFonts w:hint="eastAsia" w:ascii="仿宋_GB2312" w:hAnsi="仿宋_GB2312" w:eastAsia="仿宋_GB2312" w:cs="仿宋_GB2312"/>
                <w:sz w:val="28"/>
                <w:szCs w:val="28"/>
              </w:rPr>
            </w:pPr>
          </w:p>
        </w:tc>
        <w:tc>
          <w:tcPr>
            <w:tcW w:w="2963" w:type="dxa"/>
            <w:gridSpan w:val="2"/>
            <w:noWrap w:val="0"/>
            <w:vAlign w:val="center"/>
          </w:tcPr>
          <w:p>
            <w:pPr>
              <w:widowControl w:val="0"/>
              <w:spacing w:line="400" w:lineRule="exact"/>
              <w:jc w:val="center"/>
              <w:rPr>
                <w:rFonts w:hint="eastAsia" w:ascii="仿宋_GB2312" w:hAnsi="仿宋_GB2312" w:eastAsia="仿宋_GB2312" w:cs="仿宋_GB2312"/>
                <w:sz w:val="28"/>
                <w:szCs w:val="28"/>
              </w:rPr>
            </w:pPr>
          </w:p>
        </w:tc>
        <w:tc>
          <w:tcPr>
            <w:tcW w:w="1218" w:type="dxa"/>
            <w:noWrap w:val="0"/>
            <w:vAlign w:val="center"/>
          </w:tcPr>
          <w:p>
            <w:pPr>
              <w:widowControl w:val="0"/>
              <w:spacing w:line="400" w:lineRule="exact"/>
              <w:jc w:val="center"/>
              <w:rPr>
                <w:rFonts w:hint="eastAsia" w:ascii="仿宋_GB2312" w:hAnsi="仿宋_GB2312" w:eastAsia="仿宋_GB2312" w:cs="仿宋_GB2312"/>
                <w:sz w:val="28"/>
                <w:szCs w:val="28"/>
              </w:rPr>
            </w:pPr>
          </w:p>
        </w:tc>
        <w:tc>
          <w:tcPr>
            <w:tcW w:w="1197" w:type="dxa"/>
            <w:noWrap w:val="0"/>
            <w:vAlign w:val="center"/>
          </w:tcPr>
          <w:p>
            <w:pPr>
              <w:widowControl w:val="0"/>
              <w:spacing w:line="400" w:lineRule="exact"/>
              <w:jc w:val="center"/>
              <w:rPr>
                <w:rFonts w:hint="eastAsia" w:ascii="仿宋_GB2312" w:hAnsi="仿宋_GB2312" w:eastAsia="仿宋_GB2312" w:cs="仿宋_GB2312"/>
                <w:sz w:val="28"/>
                <w:szCs w:val="28"/>
              </w:rPr>
            </w:pPr>
          </w:p>
        </w:tc>
        <w:tc>
          <w:tcPr>
            <w:tcW w:w="1224" w:type="dxa"/>
            <w:noWrap w:val="0"/>
            <w:vAlign w:val="center"/>
          </w:tcPr>
          <w:p>
            <w:pPr>
              <w:widowControl w:val="0"/>
              <w:spacing w:line="40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925" w:type="dxa"/>
            <w:noWrap w:val="0"/>
            <w:vAlign w:val="center"/>
          </w:tcPr>
          <w:p>
            <w:pPr>
              <w:widowControl w:val="0"/>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1438" w:type="dxa"/>
            <w:noWrap w:val="0"/>
            <w:vAlign w:val="center"/>
          </w:tcPr>
          <w:p>
            <w:pPr>
              <w:widowControl w:val="0"/>
              <w:spacing w:line="400" w:lineRule="exact"/>
              <w:jc w:val="center"/>
              <w:rPr>
                <w:rFonts w:hint="eastAsia" w:ascii="仿宋_GB2312" w:hAnsi="仿宋_GB2312" w:eastAsia="仿宋_GB2312" w:cs="仿宋_GB2312"/>
                <w:sz w:val="28"/>
                <w:szCs w:val="28"/>
              </w:rPr>
            </w:pPr>
          </w:p>
        </w:tc>
        <w:tc>
          <w:tcPr>
            <w:tcW w:w="2963" w:type="dxa"/>
            <w:gridSpan w:val="2"/>
            <w:noWrap w:val="0"/>
            <w:vAlign w:val="center"/>
          </w:tcPr>
          <w:p>
            <w:pPr>
              <w:widowControl w:val="0"/>
              <w:spacing w:line="400" w:lineRule="exact"/>
              <w:jc w:val="center"/>
              <w:rPr>
                <w:rFonts w:hint="eastAsia" w:ascii="仿宋_GB2312" w:hAnsi="仿宋_GB2312" w:eastAsia="仿宋_GB2312" w:cs="仿宋_GB2312"/>
                <w:sz w:val="28"/>
                <w:szCs w:val="28"/>
              </w:rPr>
            </w:pPr>
          </w:p>
        </w:tc>
        <w:tc>
          <w:tcPr>
            <w:tcW w:w="1218" w:type="dxa"/>
            <w:noWrap w:val="0"/>
            <w:vAlign w:val="center"/>
          </w:tcPr>
          <w:p>
            <w:pPr>
              <w:widowControl w:val="0"/>
              <w:spacing w:line="400" w:lineRule="exact"/>
              <w:jc w:val="center"/>
              <w:rPr>
                <w:rFonts w:hint="eastAsia" w:ascii="仿宋_GB2312" w:hAnsi="仿宋_GB2312" w:eastAsia="仿宋_GB2312" w:cs="仿宋_GB2312"/>
                <w:sz w:val="28"/>
                <w:szCs w:val="28"/>
              </w:rPr>
            </w:pPr>
          </w:p>
        </w:tc>
        <w:tc>
          <w:tcPr>
            <w:tcW w:w="1197" w:type="dxa"/>
            <w:noWrap w:val="0"/>
            <w:vAlign w:val="center"/>
          </w:tcPr>
          <w:p>
            <w:pPr>
              <w:widowControl w:val="0"/>
              <w:spacing w:line="400" w:lineRule="exact"/>
              <w:jc w:val="center"/>
              <w:rPr>
                <w:rFonts w:hint="eastAsia" w:ascii="仿宋_GB2312" w:hAnsi="仿宋_GB2312" w:eastAsia="仿宋_GB2312" w:cs="仿宋_GB2312"/>
                <w:sz w:val="28"/>
                <w:szCs w:val="28"/>
              </w:rPr>
            </w:pPr>
          </w:p>
        </w:tc>
        <w:tc>
          <w:tcPr>
            <w:tcW w:w="1224" w:type="dxa"/>
            <w:noWrap w:val="0"/>
            <w:vAlign w:val="center"/>
          </w:tcPr>
          <w:p>
            <w:pPr>
              <w:widowControl w:val="0"/>
              <w:spacing w:line="40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925" w:type="dxa"/>
            <w:noWrap w:val="0"/>
            <w:vAlign w:val="center"/>
          </w:tcPr>
          <w:p>
            <w:pPr>
              <w:widowControl w:val="0"/>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1438" w:type="dxa"/>
            <w:noWrap w:val="0"/>
            <w:vAlign w:val="center"/>
          </w:tcPr>
          <w:p>
            <w:pPr>
              <w:widowControl w:val="0"/>
              <w:spacing w:line="400" w:lineRule="exact"/>
              <w:jc w:val="center"/>
              <w:rPr>
                <w:rFonts w:hint="eastAsia" w:ascii="仿宋_GB2312" w:hAnsi="仿宋_GB2312" w:eastAsia="仿宋_GB2312" w:cs="仿宋_GB2312"/>
                <w:sz w:val="28"/>
                <w:szCs w:val="28"/>
              </w:rPr>
            </w:pPr>
          </w:p>
        </w:tc>
        <w:tc>
          <w:tcPr>
            <w:tcW w:w="2963" w:type="dxa"/>
            <w:gridSpan w:val="2"/>
            <w:noWrap w:val="0"/>
            <w:vAlign w:val="center"/>
          </w:tcPr>
          <w:p>
            <w:pPr>
              <w:widowControl w:val="0"/>
              <w:spacing w:line="400" w:lineRule="exact"/>
              <w:jc w:val="center"/>
              <w:rPr>
                <w:rFonts w:hint="eastAsia" w:ascii="仿宋_GB2312" w:hAnsi="仿宋_GB2312" w:eastAsia="仿宋_GB2312" w:cs="仿宋_GB2312"/>
                <w:sz w:val="28"/>
                <w:szCs w:val="28"/>
              </w:rPr>
            </w:pPr>
          </w:p>
        </w:tc>
        <w:tc>
          <w:tcPr>
            <w:tcW w:w="1218" w:type="dxa"/>
            <w:noWrap w:val="0"/>
            <w:vAlign w:val="center"/>
          </w:tcPr>
          <w:p>
            <w:pPr>
              <w:widowControl w:val="0"/>
              <w:spacing w:line="400" w:lineRule="exact"/>
              <w:jc w:val="center"/>
              <w:rPr>
                <w:rFonts w:hint="eastAsia" w:ascii="仿宋_GB2312" w:hAnsi="仿宋_GB2312" w:eastAsia="仿宋_GB2312" w:cs="仿宋_GB2312"/>
                <w:sz w:val="28"/>
                <w:szCs w:val="28"/>
              </w:rPr>
            </w:pPr>
          </w:p>
        </w:tc>
        <w:tc>
          <w:tcPr>
            <w:tcW w:w="1197" w:type="dxa"/>
            <w:noWrap w:val="0"/>
            <w:vAlign w:val="center"/>
          </w:tcPr>
          <w:p>
            <w:pPr>
              <w:widowControl w:val="0"/>
              <w:spacing w:line="400" w:lineRule="exact"/>
              <w:jc w:val="center"/>
              <w:rPr>
                <w:rFonts w:hint="eastAsia" w:ascii="仿宋_GB2312" w:hAnsi="仿宋_GB2312" w:eastAsia="仿宋_GB2312" w:cs="仿宋_GB2312"/>
                <w:sz w:val="28"/>
                <w:szCs w:val="28"/>
              </w:rPr>
            </w:pPr>
          </w:p>
        </w:tc>
        <w:tc>
          <w:tcPr>
            <w:tcW w:w="1224" w:type="dxa"/>
            <w:noWrap w:val="0"/>
            <w:vAlign w:val="center"/>
          </w:tcPr>
          <w:p>
            <w:pPr>
              <w:widowControl w:val="0"/>
              <w:spacing w:line="40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925" w:type="dxa"/>
            <w:noWrap w:val="0"/>
            <w:vAlign w:val="center"/>
          </w:tcPr>
          <w:p>
            <w:pPr>
              <w:widowControl w:val="0"/>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p>
        </w:tc>
        <w:tc>
          <w:tcPr>
            <w:tcW w:w="1438" w:type="dxa"/>
            <w:noWrap w:val="0"/>
            <w:vAlign w:val="center"/>
          </w:tcPr>
          <w:p>
            <w:pPr>
              <w:widowControl w:val="0"/>
              <w:spacing w:line="400" w:lineRule="exact"/>
              <w:jc w:val="center"/>
              <w:rPr>
                <w:rFonts w:hint="eastAsia" w:ascii="仿宋_GB2312" w:hAnsi="仿宋_GB2312" w:eastAsia="仿宋_GB2312" w:cs="仿宋_GB2312"/>
                <w:sz w:val="28"/>
                <w:szCs w:val="28"/>
              </w:rPr>
            </w:pPr>
          </w:p>
        </w:tc>
        <w:tc>
          <w:tcPr>
            <w:tcW w:w="2963" w:type="dxa"/>
            <w:gridSpan w:val="2"/>
            <w:noWrap w:val="0"/>
            <w:vAlign w:val="center"/>
          </w:tcPr>
          <w:p>
            <w:pPr>
              <w:widowControl w:val="0"/>
              <w:spacing w:line="400" w:lineRule="exact"/>
              <w:jc w:val="center"/>
              <w:rPr>
                <w:rFonts w:hint="eastAsia" w:ascii="仿宋_GB2312" w:hAnsi="仿宋_GB2312" w:eastAsia="仿宋_GB2312" w:cs="仿宋_GB2312"/>
                <w:sz w:val="28"/>
                <w:szCs w:val="28"/>
              </w:rPr>
            </w:pPr>
          </w:p>
        </w:tc>
        <w:tc>
          <w:tcPr>
            <w:tcW w:w="1218" w:type="dxa"/>
            <w:noWrap w:val="0"/>
            <w:vAlign w:val="center"/>
          </w:tcPr>
          <w:p>
            <w:pPr>
              <w:widowControl w:val="0"/>
              <w:spacing w:line="400" w:lineRule="exact"/>
              <w:jc w:val="center"/>
              <w:rPr>
                <w:rFonts w:hint="eastAsia" w:ascii="仿宋_GB2312" w:hAnsi="仿宋_GB2312" w:eastAsia="仿宋_GB2312" w:cs="仿宋_GB2312"/>
                <w:sz w:val="28"/>
                <w:szCs w:val="28"/>
              </w:rPr>
            </w:pPr>
          </w:p>
        </w:tc>
        <w:tc>
          <w:tcPr>
            <w:tcW w:w="1197" w:type="dxa"/>
            <w:noWrap w:val="0"/>
            <w:vAlign w:val="center"/>
          </w:tcPr>
          <w:p>
            <w:pPr>
              <w:widowControl w:val="0"/>
              <w:spacing w:line="400" w:lineRule="exact"/>
              <w:jc w:val="center"/>
              <w:rPr>
                <w:rFonts w:hint="eastAsia" w:ascii="仿宋_GB2312" w:hAnsi="仿宋_GB2312" w:eastAsia="仿宋_GB2312" w:cs="仿宋_GB2312"/>
                <w:sz w:val="28"/>
                <w:szCs w:val="28"/>
              </w:rPr>
            </w:pPr>
          </w:p>
        </w:tc>
        <w:tc>
          <w:tcPr>
            <w:tcW w:w="1224" w:type="dxa"/>
            <w:noWrap w:val="0"/>
            <w:vAlign w:val="center"/>
          </w:tcPr>
          <w:p>
            <w:pPr>
              <w:widowControl w:val="0"/>
              <w:spacing w:line="400" w:lineRule="exact"/>
              <w:jc w:val="center"/>
              <w:rPr>
                <w:rFonts w:hint="eastAsia" w:ascii="仿宋_GB2312" w:hAnsi="仿宋_GB2312" w:eastAsia="仿宋_GB2312" w:cs="仿宋_GB2312"/>
                <w:sz w:val="28"/>
                <w:szCs w:val="28"/>
              </w:rPr>
            </w:pPr>
          </w:p>
        </w:tc>
      </w:tr>
    </w:tbl>
    <w:p>
      <w:pPr>
        <w:pStyle w:val="2"/>
        <w:spacing w:line="560" w:lineRule="exact"/>
        <w:ind w:firstLine="0" w:firstLineChars="0"/>
        <w:rPr>
          <w:rFonts w:hint="eastAsia" w:ascii="仿宋_GB2312" w:hAnsi="仿宋_GB2312" w:cs="仿宋_GB2312"/>
          <w:szCs w:val="32"/>
        </w:rPr>
      </w:pPr>
    </w:p>
    <w:sectPr>
      <w:footerReference r:id="rId4" w:type="default"/>
      <w:pgSz w:w="11906" w:h="16838"/>
      <w:pgMar w:top="1701" w:right="1587" w:bottom="1701" w:left="1587"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rPr>
                            <w:fldChar w:fldCharType="begin"/>
                          </w:r>
                          <w:r>
                            <w:rPr>
                              <w:rFonts w:hint="eastAsia" w:ascii="宋体" w:hAnsi="宋体" w:cs="宋体"/>
                              <w:sz w:val="24"/>
                              <w:szCs w:val="24"/>
                            </w:rPr>
                            <w:instrText xml:space="preserve"> PAGE  \* MERGEFORMAT </w:instrText>
                          </w:r>
                          <w:r>
                            <w:rPr>
                              <w:rFonts w:hint="eastAsia" w:ascii="宋体" w:hAnsi="宋体" w:cs="宋体"/>
                              <w:sz w:val="24"/>
                              <w:szCs w:val="24"/>
                            </w:rPr>
                            <w:fldChar w:fldCharType="separate"/>
                          </w:r>
                          <w:r>
                            <w:rPr>
                              <w:rFonts w:ascii="宋体" w:hAnsi="宋体" w:cs="宋体"/>
                              <w:sz w:val="24"/>
                              <w:szCs w:val="24"/>
                              <w:lang/>
                            </w:rPr>
                            <w:t>1</w:t>
                          </w:r>
                          <w:r>
                            <w:rPr>
                              <w:rFonts w:hint="eastAsia" w:ascii="宋体" w:hAnsi="宋体" w:cs="宋体"/>
                              <w:sz w:val="24"/>
                              <w:szCs w:val="24"/>
                            </w:rPr>
                            <w:fldChar w:fldCharType="end"/>
                          </w:r>
                          <w:r>
                            <w:rPr>
                              <w:rFonts w:hint="eastAsia" w:ascii="宋体" w:hAnsi="宋体" w:cs="宋体"/>
                              <w:sz w:val="24"/>
                              <w:szCs w:val="24"/>
                            </w:rPr>
                            <w:t xml:space="preserve"> —</w:t>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20L4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mUOG5x4Ocf388/f59/fSPL&#10;LE8foMasx4B5abjxQ06d/IDOzHpQ0eYv8iEYR3FPF3HlkIjIj1bL1arCkMDYfEEc9vQ8REh30luS&#10;jYZGnF4RlR/vIY2pc0qu5vytNgb9vDbuLwdiZg/LvY89ZisNu2FqfOfbE/LpcfANdbjnlJiPDnXN&#10;OzIbcTZ2s3EIUe+7skS5HoQPh4RNlN5yhRF2KowTK+ym7cor8fxesp7+qM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dtC+LIAQAAmQMAAA4AAAAAAAAAAQAgAAAAHgEAAGRycy9lMm9Eb2Mu&#10;eG1sUEsFBgAAAAAGAAYAWQEAAFgFAAAAAA==&#10;">
              <v:fill on="f" focussize="0,0"/>
              <v:stroke on="f"/>
              <v:imagedata o:title=""/>
              <o:lock v:ext="edit" aspectratio="f"/>
              <v:textbox inset="0mm,0mm,0mm,0mm" style="mso-fit-shape-to-text:t;">
                <w:txbxContent>
                  <w:p>
                    <w:pPr>
                      <w:pStyle w:val="6"/>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rPr>
                      <w:fldChar w:fldCharType="begin"/>
                    </w:r>
                    <w:r>
                      <w:rPr>
                        <w:rFonts w:hint="eastAsia" w:ascii="宋体" w:hAnsi="宋体" w:cs="宋体"/>
                        <w:sz w:val="24"/>
                        <w:szCs w:val="24"/>
                      </w:rPr>
                      <w:instrText xml:space="preserve"> PAGE  \* MERGEFORMAT </w:instrText>
                    </w:r>
                    <w:r>
                      <w:rPr>
                        <w:rFonts w:hint="eastAsia" w:ascii="宋体" w:hAnsi="宋体" w:cs="宋体"/>
                        <w:sz w:val="24"/>
                        <w:szCs w:val="24"/>
                      </w:rPr>
                      <w:fldChar w:fldCharType="separate"/>
                    </w:r>
                    <w:r>
                      <w:rPr>
                        <w:rFonts w:ascii="宋体" w:hAnsi="宋体" w:cs="宋体"/>
                        <w:sz w:val="24"/>
                        <w:szCs w:val="24"/>
                        <w:lang/>
                      </w:rPr>
                      <w:t>1</w:t>
                    </w:r>
                    <w:r>
                      <w:rPr>
                        <w:rFonts w:hint="eastAsia" w:ascii="宋体" w:hAnsi="宋体" w:cs="宋体"/>
                        <w:sz w:val="24"/>
                        <w:szCs w:val="24"/>
                      </w:rPr>
                      <w:fldChar w:fldCharType="end"/>
                    </w:r>
                    <w:r>
                      <w:rPr>
                        <w:rFonts w:hint="eastAsia" w:ascii="宋体" w:hAnsi="宋体" w:cs="宋体"/>
                        <w:sz w:val="24"/>
                        <w:szCs w:val="24"/>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hyphenationZone w:val="360"/>
  <w:drawingGridHorizontalSpacing w:val="110"/>
  <w:drawingGridVerticalSpacing w:val="156"/>
  <w:displayHorizontalDrawingGridEvery w:val="1"/>
  <w:displayVerticalDrawingGridEvery w:val="1"/>
  <w:noPunctuationKerning w:val="1"/>
  <w:characterSpacingControl w:val="doNotCompress"/>
  <w:noLineBreaksAfter w:lang="zh-CN" w:val="([{·‘“〈《「『【〔〖（．［｛￡￥"/>
  <w:noLineBreaksBefore w:lang="zh-CN" w:val="!),.:;?]}¨·ˇˉ―‖’”…∶、。〃々〉》」』】〕〗！＂＇），．：；？］｀｜｝～￠"/>
  <w:hdrShapeDefaults>
    <o:shapelayout v:ext="edit">
      <o:idmap v:ext="edit" data="2"/>
    </o:shapelayout>
  </w:hdrShapeDefault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3YWFlNmFlZjQyYzFmNTJmMDk3MmU3ZTUyMDU0ZWUifQ=="/>
  </w:docVars>
  <w:rsids>
    <w:rsidRoot w:val="00D31D50"/>
    <w:rsid w:val="00041598"/>
    <w:rsid w:val="00043A0A"/>
    <w:rsid w:val="00045929"/>
    <w:rsid w:val="000479AE"/>
    <w:rsid w:val="00056377"/>
    <w:rsid w:val="00097E49"/>
    <w:rsid w:val="000A2D48"/>
    <w:rsid w:val="000A65FD"/>
    <w:rsid w:val="000F6AE2"/>
    <w:rsid w:val="001162E9"/>
    <w:rsid w:val="0011762C"/>
    <w:rsid w:val="00120F29"/>
    <w:rsid w:val="00126088"/>
    <w:rsid w:val="0016421E"/>
    <w:rsid w:val="0019108A"/>
    <w:rsid w:val="001A00F8"/>
    <w:rsid w:val="001A7274"/>
    <w:rsid w:val="001B4556"/>
    <w:rsid w:val="001E55D4"/>
    <w:rsid w:val="00246087"/>
    <w:rsid w:val="00271B64"/>
    <w:rsid w:val="0028264F"/>
    <w:rsid w:val="002A57BD"/>
    <w:rsid w:val="002D0E0D"/>
    <w:rsid w:val="002D6BAF"/>
    <w:rsid w:val="002E3FEE"/>
    <w:rsid w:val="002E7E06"/>
    <w:rsid w:val="003117E0"/>
    <w:rsid w:val="0031680B"/>
    <w:rsid w:val="003178CF"/>
    <w:rsid w:val="00323B43"/>
    <w:rsid w:val="00326AD7"/>
    <w:rsid w:val="003453EA"/>
    <w:rsid w:val="00357AE6"/>
    <w:rsid w:val="0036343D"/>
    <w:rsid w:val="00380544"/>
    <w:rsid w:val="00387EBA"/>
    <w:rsid w:val="003D37D8"/>
    <w:rsid w:val="003F50DF"/>
    <w:rsid w:val="003F6FBC"/>
    <w:rsid w:val="00423129"/>
    <w:rsid w:val="004260BD"/>
    <w:rsid w:val="00426133"/>
    <w:rsid w:val="00434801"/>
    <w:rsid w:val="004358AB"/>
    <w:rsid w:val="0044245E"/>
    <w:rsid w:val="00447D09"/>
    <w:rsid w:val="00472ECB"/>
    <w:rsid w:val="0049319E"/>
    <w:rsid w:val="004B0C8C"/>
    <w:rsid w:val="004C5636"/>
    <w:rsid w:val="00565E85"/>
    <w:rsid w:val="00575490"/>
    <w:rsid w:val="00581CF3"/>
    <w:rsid w:val="005D6BA2"/>
    <w:rsid w:val="005F221D"/>
    <w:rsid w:val="005F30CE"/>
    <w:rsid w:val="00622CF2"/>
    <w:rsid w:val="00637A88"/>
    <w:rsid w:val="00654D6B"/>
    <w:rsid w:val="00683CEA"/>
    <w:rsid w:val="00702290"/>
    <w:rsid w:val="007559CE"/>
    <w:rsid w:val="007A52E6"/>
    <w:rsid w:val="007A63D5"/>
    <w:rsid w:val="007C1FA6"/>
    <w:rsid w:val="007F2676"/>
    <w:rsid w:val="008217B3"/>
    <w:rsid w:val="0084006B"/>
    <w:rsid w:val="00857678"/>
    <w:rsid w:val="008B7726"/>
    <w:rsid w:val="008E3553"/>
    <w:rsid w:val="008F0DCF"/>
    <w:rsid w:val="008F7B8A"/>
    <w:rsid w:val="00926619"/>
    <w:rsid w:val="00942598"/>
    <w:rsid w:val="00972EB6"/>
    <w:rsid w:val="009B7B10"/>
    <w:rsid w:val="009C36BB"/>
    <w:rsid w:val="009F5FD8"/>
    <w:rsid w:val="00A209B4"/>
    <w:rsid w:val="00A23618"/>
    <w:rsid w:val="00A41C84"/>
    <w:rsid w:val="00A61A72"/>
    <w:rsid w:val="00AA6030"/>
    <w:rsid w:val="00AA76ED"/>
    <w:rsid w:val="00AC756D"/>
    <w:rsid w:val="00AE3FB5"/>
    <w:rsid w:val="00B02D24"/>
    <w:rsid w:val="00B22DEE"/>
    <w:rsid w:val="00B510A8"/>
    <w:rsid w:val="00B51B01"/>
    <w:rsid w:val="00B75DDF"/>
    <w:rsid w:val="00BA5266"/>
    <w:rsid w:val="00C31CDF"/>
    <w:rsid w:val="00C67E61"/>
    <w:rsid w:val="00C91B24"/>
    <w:rsid w:val="00CD2883"/>
    <w:rsid w:val="00CD5802"/>
    <w:rsid w:val="00CF2067"/>
    <w:rsid w:val="00D16E13"/>
    <w:rsid w:val="00D31D50"/>
    <w:rsid w:val="00D70CDD"/>
    <w:rsid w:val="00D71D4C"/>
    <w:rsid w:val="00D91858"/>
    <w:rsid w:val="00D96DDA"/>
    <w:rsid w:val="00DA092A"/>
    <w:rsid w:val="00DC5858"/>
    <w:rsid w:val="00E27973"/>
    <w:rsid w:val="00E515C4"/>
    <w:rsid w:val="00E57CFA"/>
    <w:rsid w:val="00E75F23"/>
    <w:rsid w:val="00F37C02"/>
    <w:rsid w:val="00F40CEC"/>
    <w:rsid w:val="00F45165"/>
    <w:rsid w:val="00F93F00"/>
    <w:rsid w:val="00FB5029"/>
    <w:rsid w:val="00FC1FB3"/>
    <w:rsid w:val="00FC375F"/>
    <w:rsid w:val="00FC74C1"/>
    <w:rsid w:val="00FD3FD0"/>
    <w:rsid w:val="00FD4CEE"/>
    <w:rsid w:val="02EB449F"/>
    <w:rsid w:val="049961ED"/>
    <w:rsid w:val="05856567"/>
    <w:rsid w:val="07585383"/>
    <w:rsid w:val="08470D40"/>
    <w:rsid w:val="08E217AD"/>
    <w:rsid w:val="0A363067"/>
    <w:rsid w:val="0A5C24C2"/>
    <w:rsid w:val="0A7B4730"/>
    <w:rsid w:val="0B414F83"/>
    <w:rsid w:val="0C73512F"/>
    <w:rsid w:val="0DAD3DB3"/>
    <w:rsid w:val="0DF47645"/>
    <w:rsid w:val="12AF051E"/>
    <w:rsid w:val="13C82AE3"/>
    <w:rsid w:val="1846720C"/>
    <w:rsid w:val="1A6A7A0D"/>
    <w:rsid w:val="1ACA5E42"/>
    <w:rsid w:val="1AD74902"/>
    <w:rsid w:val="1EA42D1D"/>
    <w:rsid w:val="279049F5"/>
    <w:rsid w:val="321106E0"/>
    <w:rsid w:val="350E4FDB"/>
    <w:rsid w:val="36B7482B"/>
    <w:rsid w:val="399C6189"/>
    <w:rsid w:val="3E456DC8"/>
    <w:rsid w:val="41C36CF4"/>
    <w:rsid w:val="447834D0"/>
    <w:rsid w:val="47663AB4"/>
    <w:rsid w:val="4DAD1A77"/>
    <w:rsid w:val="4FEF0015"/>
    <w:rsid w:val="50FA58DA"/>
    <w:rsid w:val="57A739A3"/>
    <w:rsid w:val="5A9A09E5"/>
    <w:rsid w:val="5FE03124"/>
    <w:rsid w:val="61340D0C"/>
    <w:rsid w:val="64525BEE"/>
    <w:rsid w:val="6983400C"/>
    <w:rsid w:val="69C73B4D"/>
    <w:rsid w:val="70716EA2"/>
    <w:rsid w:val="722D5FAB"/>
    <w:rsid w:val="72604FC2"/>
    <w:rsid w:val="742E5412"/>
    <w:rsid w:val="7B651F2C"/>
    <w:rsid w:val="7F6B3CA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ocked="1"/>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unhideWhenUsed="0" w:uiPriority="0" w:semiHidden="0" w:name="Salutation"/>
    <w:lsdException w:unhideWhenUsed="0" w:uiPriority="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ocked="1"/>
    <w:lsdException w:qFormat="1" w:unhideWhenUsed="0" w:uiPriority="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ocked="1"/>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sz w:val="22"/>
      <w:szCs w:val="22"/>
      <w:lang w:val="en-US" w:eastAsia="zh-CN" w:bidi="ar-SA"/>
    </w:rPr>
  </w:style>
  <w:style w:type="character" w:default="1" w:styleId="9">
    <w:name w:val="Default Paragraph Font"/>
    <w:semiHidden/>
    <w:uiPriority w:val="0"/>
  </w:style>
  <w:style w:type="table" w:default="1" w:styleId="8">
    <w:name w:val="Normal Table"/>
    <w:semiHidden/>
    <w:uiPriority w:val="0"/>
    <w:tblPr>
      <w:tblStyle w:val="8"/>
      <w:tblCellMar>
        <w:top w:w="0" w:type="dxa"/>
        <w:left w:w="108" w:type="dxa"/>
        <w:bottom w:w="0" w:type="dxa"/>
        <w:right w:w="108" w:type="dxa"/>
      </w:tblCellMar>
    </w:tblPr>
  </w:style>
  <w:style w:type="paragraph" w:styleId="2">
    <w:name w:val="Body Text First Indent 2"/>
    <w:qFormat/>
    <w:uiPriority w:val="99"/>
    <w:pPr>
      <w:widowControl w:val="0"/>
      <w:ind w:firstLine="420" w:firstLineChars="200"/>
      <w:jc w:val="both"/>
    </w:pPr>
    <w:rPr>
      <w:rFonts w:ascii="Calibri" w:hAnsi="Calibri" w:eastAsia="仿宋_GB2312"/>
      <w:kern w:val="2"/>
      <w:sz w:val="32"/>
      <w:szCs w:val="24"/>
      <w:lang w:val="en-US" w:eastAsia="zh-CN" w:bidi="ar-SA"/>
    </w:rPr>
  </w:style>
  <w:style w:type="paragraph" w:styleId="3">
    <w:name w:val="annotation text"/>
    <w:basedOn w:val="1"/>
    <w:qFormat/>
    <w:uiPriority w:val="0"/>
    <w:pPr>
      <w:jc w:val="left"/>
    </w:pPr>
  </w:style>
  <w:style w:type="paragraph" w:styleId="4">
    <w:name w:val="Date"/>
    <w:basedOn w:val="1"/>
    <w:next w:val="1"/>
    <w:link w:val="10"/>
    <w:semiHidden/>
    <w:uiPriority w:val="0"/>
    <w:pPr>
      <w:ind w:left="100" w:leftChars="2500"/>
    </w:pPr>
  </w:style>
  <w:style w:type="paragraph" w:styleId="5">
    <w:name w:val="Balloon Text"/>
    <w:basedOn w:val="1"/>
    <w:link w:val="11"/>
    <w:semiHidden/>
    <w:uiPriority w:val="0"/>
    <w:pPr>
      <w:spacing w:after="0"/>
    </w:pPr>
    <w:rPr>
      <w:sz w:val="18"/>
      <w:szCs w:val="18"/>
    </w:rPr>
  </w:style>
  <w:style w:type="paragraph" w:styleId="6">
    <w:name w:val="footer"/>
    <w:basedOn w:val="1"/>
    <w:link w:val="12"/>
    <w:uiPriority w:val="0"/>
    <w:pPr>
      <w:tabs>
        <w:tab w:val="center" w:pos="4153"/>
        <w:tab w:val="right" w:pos="8306"/>
      </w:tabs>
    </w:pPr>
    <w:rPr>
      <w:sz w:val="18"/>
      <w:szCs w:val="18"/>
    </w:rPr>
  </w:style>
  <w:style w:type="paragraph" w:styleId="7">
    <w:name w:val="header"/>
    <w:basedOn w:val="1"/>
    <w:link w:val="13"/>
    <w:uiPriority w:val="0"/>
    <w:pPr>
      <w:pBdr>
        <w:bottom w:val="single" w:color="auto" w:sz="6" w:space="1"/>
      </w:pBdr>
      <w:tabs>
        <w:tab w:val="center" w:pos="4153"/>
        <w:tab w:val="right" w:pos="8306"/>
      </w:tabs>
      <w:jc w:val="center"/>
    </w:pPr>
    <w:rPr>
      <w:sz w:val="18"/>
      <w:szCs w:val="18"/>
    </w:rPr>
  </w:style>
  <w:style w:type="character" w:customStyle="1" w:styleId="10">
    <w:name w:val="日期 Char"/>
    <w:link w:val="4"/>
    <w:semiHidden/>
    <w:locked/>
    <w:uiPriority w:val="0"/>
    <w:rPr>
      <w:rFonts w:ascii="Tahoma" w:hAnsi="Tahoma" w:cs="Times New Roman"/>
    </w:rPr>
  </w:style>
  <w:style w:type="character" w:customStyle="1" w:styleId="11">
    <w:name w:val="批注框文本 Char"/>
    <w:link w:val="5"/>
    <w:semiHidden/>
    <w:locked/>
    <w:uiPriority w:val="0"/>
    <w:rPr>
      <w:rFonts w:ascii="Tahoma" w:hAnsi="Tahoma" w:cs="Times New Roman"/>
      <w:sz w:val="18"/>
      <w:szCs w:val="18"/>
    </w:rPr>
  </w:style>
  <w:style w:type="character" w:customStyle="1" w:styleId="12">
    <w:name w:val="页脚 Char"/>
    <w:link w:val="6"/>
    <w:locked/>
    <w:uiPriority w:val="0"/>
    <w:rPr>
      <w:rFonts w:ascii="Tahoma" w:hAnsi="Tahoma" w:cs="Times New Roman"/>
      <w:sz w:val="18"/>
      <w:szCs w:val="18"/>
    </w:rPr>
  </w:style>
  <w:style w:type="character" w:customStyle="1" w:styleId="13">
    <w:name w:val="页眉 Char"/>
    <w:link w:val="7"/>
    <w:locked/>
    <w:uiPriority w:val="0"/>
    <w:rPr>
      <w:rFonts w:ascii="Tahoma" w:hAnsi="Tahoma" w:cs="Times New Roman"/>
      <w:sz w:val="18"/>
      <w:szCs w:val="18"/>
    </w:rPr>
  </w:style>
  <w:style w:type="paragraph" w:customStyle="1" w:styleId="14">
    <w:name w:val="BodyText1I2"/>
    <w:qFormat/>
    <w:uiPriority w:val="0"/>
    <w:pPr>
      <w:ind w:firstLine="420" w:firstLineChars="200"/>
      <w:jc w:val="both"/>
      <w:textAlignment w:val="baseline"/>
    </w:pPr>
    <w:rPr>
      <w:rFonts w:ascii="Calibri" w:hAnsi="Calibri" w:eastAsia="仿宋_GB2312"/>
      <w:kern w:val="2"/>
      <w:sz w:val="32"/>
      <w:szCs w:val="24"/>
      <w:lang w:val="en-US" w:eastAsia="zh-CN" w:bidi="ar-SA"/>
    </w:rPr>
  </w:style>
  <w:style w:type="paragraph" w:customStyle="1" w:styleId="15">
    <w:name w:val="Char"/>
    <w:basedOn w:val="1"/>
    <w:uiPriority w:val="0"/>
    <w:pPr>
      <w:adjustRightInd/>
      <w:snapToGrid/>
      <w:spacing w:after="0"/>
    </w:pPr>
    <w:rPr>
      <w:rFonts w:eastAsia="宋体" w:cs="仿宋_GB2312"/>
      <w:sz w:val="24"/>
      <w:szCs w:val="20"/>
    </w:rPr>
  </w:style>
  <w:style w:type="paragraph" w:customStyle="1" w:styleId="16">
    <w:name w:val="章标题"/>
    <w:basedOn w:val="1"/>
    <w:next w:val="1"/>
    <w:uiPriority w:val="0"/>
    <w:pPr>
      <w:adjustRightInd/>
      <w:snapToGrid/>
      <w:spacing w:before="158" w:after="153" w:line="646" w:lineRule="atLeast"/>
      <w:jc w:val="center"/>
    </w:pPr>
    <w:rPr>
      <w:rFonts w:ascii="Arial" w:hAnsi="Times New Roman" w:eastAsia="黑体"/>
      <w:color w:val="000000"/>
      <w:sz w:val="31"/>
      <w:szCs w:val="20"/>
      <w:u w:val="none" w:color="00000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343</Words>
  <Characters>1959</Characters>
  <Lines>16</Lines>
  <Paragraphs>4</Paragraphs>
  <TotalTime>0</TotalTime>
  <ScaleCrop>false</ScaleCrop>
  <LinksUpToDate>false</LinksUpToDate>
  <CharactersWithSpaces>2298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2018-11-21T03:53:00Z</dcterms:created>
  <dc:creator>孔令军</dc:creator>
  <cp:lastModifiedBy>Malu</cp:lastModifiedBy>
  <cp:lastPrinted>2021-05-12T07:59:00Z</cp:lastPrinted>
  <dcterms:modified xsi:type="dcterms:W3CDTF">2023-11-23T00:46:16Z</dcterms:modified>
  <dc:title>枣庄市行政审批服务局文件</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BD70B206DD8A401C8D8116F9E18C4BB7_13</vt:lpwstr>
  </property>
</Properties>
</file>