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枣庄市政务服务管理办公室</w:t>
      </w:r>
    </w:p>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关于印发《枣庄市民中心政务服务投诉处置</w:t>
      </w:r>
    </w:p>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实施细则》的通知</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枣政管办〔2020〕5号</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市民中心各进驻部门、单位：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现将《枣庄市民中心政务服务投诉处置实施细则》印发</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给你们，请认真遵照执行。</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4160" w:firstLineChars="13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枣庄市政务服务管理办公室</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120" w:firstLineChars="16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2020年6月9日</w:t>
      </w:r>
    </w:p>
    <w:p>
      <w:pPr>
        <w:pStyle w:val="2"/>
        <w:spacing w:line="273" w:lineRule="auto"/>
      </w:pPr>
    </w:p>
    <w:p>
      <w:pPr>
        <w:pStyle w:val="2"/>
        <w:spacing w:line="273" w:lineRule="auto"/>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spacing w:before="137" w:line="219" w:lineRule="auto"/>
        <w:ind w:left="370"/>
        <w:rPr>
          <w:rFonts w:ascii="宋体" w:hAnsi="宋体" w:eastAsia="宋体" w:cs="宋体"/>
          <w:b/>
          <w:bCs/>
          <w:spacing w:val="12"/>
          <w:sz w:val="42"/>
          <w:szCs w:val="42"/>
        </w:rPr>
      </w:pPr>
    </w:p>
    <w:p>
      <w:pPr>
        <w:bidi w:val="0"/>
        <w:jc w:val="center"/>
        <w:rPr>
          <w:rFonts w:ascii="宋体" w:hAnsi="宋体" w:eastAsia="宋体" w:cs="宋体"/>
          <w:szCs w:val="42"/>
        </w:rPr>
      </w:pPr>
      <w:r>
        <w:rPr>
          <w:rFonts w:hint="eastAsia" w:ascii="方正小标宋简体" w:hAnsi="方正小标宋简体" w:eastAsia="方正小标宋简体" w:cs="方正小标宋简体"/>
          <w:sz w:val="44"/>
          <w:szCs w:val="44"/>
        </w:rPr>
        <w:t>枣庄市民中心政务服务投诉处置实施细则</w:t>
      </w:r>
    </w:p>
    <w:p>
      <w:pPr>
        <w:pStyle w:val="2"/>
        <w:spacing w:line="303" w:lineRule="auto"/>
      </w:pPr>
    </w:p>
    <w:p>
      <w:pPr>
        <w:pStyle w:val="2"/>
        <w:spacing w:line="304" w:lineRule="auto"/>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为进一步规范和细化市民中心政务服务事项投诉处理流程，根据《枣庄市民中心政务服务投诉处置办法》(枣政 管办〔2020〕2号)有关规定，市民中心政务服务事项投诉处置程序如下：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一、市民中心政务服务投诉受理机构及其职责</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民中心各进驻单位、市行政审批服务局共同承担市民中心政务服务投诉处置工作，受理和办理服务对象对市民中心窗口及其工作人员的投诉工作。市行政审批服务局同时承担受理和办理其他监督管理等单位转办的有关市民中心政务服务相关投诉件；组织、协调及配合市民中心各进驻单位调查、处理对窗口及其工作人员的投诉处置工作。市行政审批服务局综合审批协调科具体负责市民中心</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南厅C区被投诉人或事项的处置工作，政务服务中心具体负责市民中心南厅A、B、D区被投诉人或事项的投诉处置组织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协调、配合、转办工作。综合审批协调科、市政务服务中心共同做好投诉事项处置定期汇总、分析投诉处置情况。</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二、市民中心政务服务投诉处置程序</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服务对象在市民中心各进驻单位窗口进行现场投诉的，由各进驻单位现场处置，政务服务中心酌情协助处置。</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服务对象在市民中心总服务台、吐槽找茬窗口投诉的，被投诉人或事项为市民中心南厅C区窗口工作人员或承办事项的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由综合审批协调科按有关规定要求处置；被投诉人或事项为市民中心除南厅C 区外其他区域窗口工作人员或承办事项的，由市政务服务中心采取电话、填写《枣庄市民中心投诉处置单》(见附件)等方式联系转交相关被投诉进驻单位处置；政务服务中心应及时与被投诉进驻单位首席代表联系，组织、协调、配合投诉事件处置工作；投诉情形属于事实清楚或情由简单的现场投诉，由被投诉进驻单位现场处置；投诉问题属于事实不清或情由复杂需要进一步调查的投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被投诉进驻单位应在投诉后3个工作日内处置办结，并将处置结果反馈政务服务中心。</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通过意见箱、调查问卷进行投诉的，服务对象留有明确联系方式的，由市政务服务中心按照被投诉人或事项隶属关系，采取电话、填写《枣庄市民中心投诉处置单》(见附件)等方式联系转交市行政审批服务局综合审批协调科、各进驻单位处置；被投诉单位应在接到转交投诉后3个工作日内处置办结，并将处置结果反馈政务服务中心；服务对象未留有明确联系方式的，对于无具体指向性对象、普遍性或个别性问题的，由市政务服务中心汇总后在市民中心首席代表座谈会、通报等形式提醒、通报并督促整改。</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对于市委、市政府督查部门、市纪委监委、12345热线平台等监督督查部门(单位)转办件、信件的反映市民中心政务服务中存在问题的，由接件责任机构按职能分配处置。</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三、市民中心政务服务投诉处置要求</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(一)确保投诉渠道畅通。</w:t>
      </w:r>
      <w:r>
        <w:rPr>
          <w:rFonts w:hint="eastAsia" w:ascii="仿宋_GB2312" w:hAnsi="仿宋_GB2312" w:eastAsia="仿宋_GB2312" w:cs="仿宋_GB2312"/>
          <w:sz w:val="32"/>
          <w:szCs w:val="32"/>
        </w:rPr>
        <w:t>各进驻单位与市审批服</w:t>
      </w:r>
      <w:r>
        <w:rPr>
          <w:rFonts w:hint="eastAsia" w:ascii="仿宋_GB2312" w:hAnsi="仿宋_GB2312" w:eastAsia="仿宋_GB2312" w:cs="仿宋_GB2312"/>
          <w:sz w:val="32"/>
          <w:szCs w:val="32"/>
          <w:lang w:eastAsia="zh-CN"/>
        </w:rPr>
        <w:t>务局</w:t>
      </w:r>
      <w:r>
        <w:rPr>
          <w:rFonts w:hint="eastAsia" w:ascii="仿宋_GB2312" w:hAnsi="仿宋_GB2312" w:eastAsia="仿宋_GB2312" w:cs="仿宋_GB2312"/>
          <w:sz w:val="32"/>
          <w:szCs w:val="32"/>
        </w:rPr>
        <w:t>建立健全协作沟通机制，必须确保投诉处置渠道畅通，确保投诉处置工作做到依法、及时、正确、规范。</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(二)认真做好投诉接待、登记工作。</w:t>
      </w:r>
      <w:r>
        <w:rPr>
          <w:rFonts w:hint="eastAsia" w:ascii="仿宋_GB2312" w:hAnsi="仿宋_GB2312" w:eastAsia="仿宋_GB2312" w:cs="仿宋_GB2312"/>
          <w:sz w:val="32"/>
          <w:szCs w:val="32"/>
        </w:rPr>
        <w:t>市民中心各进驻单位、市行政审批服务局投诉受理人员应当恪尽职守，及时、规范处置投诉事件。市行政审批服务局综合审批协调科、政务服务中心认真做好投诉登记工作，填写《枣庄市民中心投诉处置单》(见附件),按照规定程序处置或转交被投诉进驻单位处置。对不属于受理范围内的投诉事项，应告知投诉人其他投诉途径，并做好相关解释工作。</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(三)认真做好投诉处置分析和结果运用工作。</w:t>
      </w:r>
      <w:r>
        <w:rPr>
          <w:rFonts w:hint="eastAsia" w:ascii="仿宋_GB2312" w:hAnsi="仿宋_GB2312" w:eastAsia="仿宋_GB2312" w:cs="仿宋_GB2312"/>
          <w:sz w:val="32"/>
          <w:szCs w:val="32"/>
        </w:rPr>
        <w:t>投诉事件处置后，投诉处置机构应当做好归档立卷工作；市行政审批服务局综合审批协调科、政务服务中心定期汇总、分析投诉以及处置情况，加强投诉处置结果运用工作，推进政务服务水平提升。</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市民中心政务服务投诉处置流程图</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1600" w:firstLineChars="5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枣庄市民中心投诉处置单</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1600" w:firstLineChars="5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bookmarkStart w:id="0" w:name="_GoBack"/>
      <w:r>
        <w:rPr>
          <w:rFonts w:hint="eastAsia" w:ascii="仿宋_GB2312" w:hAnsi="仿宋_GB2312" w:eastAsia="仿宋_GB2312" w:cs="仿宋_GB2312"/>
          <w:sz w:val="32"/>
          <w:szCs w:val="32"/>
        </w:rPr>
        <w:t>枣庄市民中心政务服务投诉受理人员花名册</w:t>
      </w:r>
      <w:bookmarkEnd w:id="0"/>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spacing w:before="117" w:line="222" w:lineRule="auto"/>
        <w:ind w:left="1119"/>
        <w:rPr>
          <w:rFonts w:ascii="仿宋" w:hAnsi="仿宋" w:eastAsia="仿宋" w:cs="仿宋"/>
          <w:spacing w:val="-9"/>
          <w:sz w:val="36"/>
          <w:szCs w:val="36"/>
        </w:rPr>
      </w:pPr>
    </w:p>
    <w:p>
      <w:pPr>
        <w:spacing w:before="117" w:line="222" w:lineRule="auto"/>
        <w:ind w:left="1119"/>
        <w:rPr>
          <w:rFonts w:ascii="仿宋" w:hAnsi="仿宋" w:eastAsia="仿宋" w:cs="仿宋"/>
          <w:spacing w:val="-9"/>
          <w:sz w:val="36"/>
          <w:szCs w:val="36"/>
        </w:rPr>
      </w:pPr>
    </w:p>
    <w:p>
      <w:pPr>
        <w:spacing w:before="117" w:line="222" w:lineRule="auto"/>
        <w:ind w:left="1119"/>
        <w:rPr>
          <w:rFonts w:ascii="仿宋" w:hAnsi="仿宋" w:eastAsia="仿宋" w:cs="仿宋"/>
          <w:spacing w:val="-9"/>
          <w:sz w:val="36"/>
          <w:szCs w:val="36"/>
        </w:rPr>
      </w:pPr>
    </w:p>
    <w:p>
      <w:pPr>
        <w:spacing w:before="117" w:line="222" w:lineRule="auto"/>
        <w:ind w:left="1119"/>
        <w:rPr>
          <w:rFonts w:ascii="仿宋" w:hAnsi="仿宋" w:eastAsia="仿宋" w:cs="仿宋"/>
          <w:spacing w:val="-9"/>
          <w:sz w:val="36"/>
          <w:szCs w:val="36"/>
        </w:rPr>
      </w:pPr>
    </w:p>
    <w:p>
      <w:pPr>
        <w:spacing w:before="117" w:line="222" w:lineRule="auto"/>
        <w:ind w:left="1119"/>
        <w:rPr>
          <w:rFonts w:ascii="仿宋" w:hAnsi="仿宋" w:eastAsia="仿宋" w:cs="仿宋"/>
          <w:spacing w:val="-9"/>
          <w:sz w:val="36"/>
          <w:szCs w:val="36"/>
        </w:rPr>
      </w:pPr>
    </w:p>
    <w:p>
      <w:pPr>
        <w:spacing w:before="117" w:line="222" w:lineRule="auto"/>
        <w:rPr>
          <w:rFonts w:ascii="仿宋" w:hAnsi="仿宋" w:eastAsia="仿宋" w:cs="仿宋"/>
          <w:spacing w:val="-9"/>
          <w:sz w:val="36"/>
          <w:szCs w:val="36"/>
        </w:rPr>
      </w:pPr>
      <w:r>
        <w:rPr>
          <w:rFonts w:hint="eastAsia" w:eastAsia="宋体"/>
          <w:lang w:eastAsia="zh-CN"/>
        </w:rPr>
        <w:drawing>
          <wp:inline distT="0" distB="0" distL="114300" distR="114300">
            <wp:extent cx="5585460" cy="6635750"/>
            <wp:effectExtent l="0" t="0" r="7620" b="8890"/>
            <wp:docPr id="1" name="图片 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1"/>
                    <pic:cNvPicPr>
                      <a:picLocks noChangeAspect="1"/>
                    </pic:cNvPicPr>
                  </pic:nvPicPr>
                  <pic:blipFill>
                    <a:blip r:embed="rId7"/>
                    <a:stretch>
                      <a:fillRect/>
                    </a:stretch>
                  </pic:blipFill>
                  <pic:spPr>
                    <a:xfrm>
                      <a:off x="0" y="0"/>
                      <a:ext cx="5585460" cy="6635750"/>
                    </a:xfrm>
                    <a:prstGeom prst="rect">
                      <a:avLst/>
                    </a:prstGeom>
                  </pic:spPr>
                </pic:pic>
              </a:graphicData>
            </a:graphic>
          </wp:inline>
        </w:drawing>
      </w:r>
    </w:p>
    <w:p>
      <w:pPr>
        <w:spacing w:before="117" w:line="222" w:lineRule="auto"/>
        <w:ind w:left="1119"/>
        <w:rPr>
          <w:rFonts w:ascii="仿宋" w:hAnsi="仿宋" w:eastAsia="仿宋" w:cs="仿宋"/>
          <w:spacing w:val="-9"/>
          <w:sz w:val="36"/>
          <w:szCs w:val="36"/>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rPr>
          <w:rFonts w:hint="eastAsia" w:eastAsia="宋体"/>
          <w:lang w:eastAsia="zh-CN"/>
        </w:rPr>
        <w:drawing>
          <wp:inline distT="0" distB="0" distL="114300" distR="114300">
            <wp:extent cx="5405120" cy="6986270"/>
            <wp:effectExtent l="0" t="0" r="5080" b="8890"/>
            <wp:docPr id="2" name="图片 2" descr="捕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捕获2"/>
                    <pic:cNvPicPr>
                      <a:picLocks noChangeAspect="1"/>
                    </pic:cNvPicPr>
                  </pic:nvPicPr>
                  <pic:blipFill>
                    <a:blip r:embed="rId8"/>
                    <a:stretch>
                      <a:fillRect/>
                    </a:stretch>
                  </pic:blipFill>
                  <pic:spPr>
                    <a:xfrm>
                      <a:off x="0" y="0"/>
                      <a:ext cx="5405120" cy="6986270"/>
                    </a:xfrm>
                    <a:prstGeom prst="rect">
                      <a:avLst/>
                    </a:prstGeom>
                  </pic:spPr>
                </pic:pic>
              </a:graphicData>
            </a:graphic>
          </wp:inline>
        </w:drawing>
      </w:r>
    </w:p>
    <w:p>
      <w:pPr>
        <w:pStyle w:val="2"/>
      </w:pPr>
    </w:p>
    <w:p>
      <w:pPr>
        <w:pStyle w:val="2"/>
      </w:pPr>
    </w:p>
    <w:p>
      <w:pPr>
        <w:pStyle w:val="2"/>
      </w:pPr>
    </w:p>
    <w:p>
      <w:pPr>
        <w:pStyle w:val="2"/>
        <w:jc w:val="both"/>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r>
        <w:rPr>
          <w:rFonts w:hint="eastAsia" w:eastAsia="宋体"/>
          <w:lang w:eastAsia="zh-CN"/>
        </w:rPr>
        <w:drawing>
          <wp:inline distT="0" distB="0" distL="114300" distR="114300">
            <wp:extent cx="5406390" cy="7232015"/>
            <wp:effectExtent l="0" t="0" r="3810" b="6985"/>
            <wp:docPr id="3" name="图片 3"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捕获3"/>
                    <pic:cNvPicPr>
                      <a:picLocks noChangeAspect="1"/>
                    </pic:cNvPicPr>
                  </pic:nvPicPr>
                  <pic:blipFill>
                    <a:blip r:embed="rId9"/>
                    <a:stretch>
                      <a:fillRect/>
                    </a:stretch>
                  </pic:blipFill>
                  <pic:spPr>
                    <a:xfrm>
                      <a:off x="0" y="0"/>
                      <a:ext cx="5406390" cy="7232015"/>
                    </a:xfrm>
                    <a:prstGeom prst="rect">
                      <a:avLst/>
                    </a:prstGeom>
                  </pic:spPr>
                </pic:pic>
              </a:graphicData>
            </a:graphic>
          </wp:inline>
        </w:drawing>
      </w: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center"/>
        <w:rPr>
          <w:rFonts w:hint="eastAsia" w:eastAsia="宋体"/>
          <w:lang w:eastAsia="zh-CN"/>
        </w:rPr>
      </w:pPr>
    </w:p>
    <w:p>
      <w:pPr>
        <w:pStyle w:val="2"/>
        <w:jc w:val="both"/>
        <w:rPr>
          <w:rFonts w:hint="eastAsia" w:eastAsia="宋体"/>
          <w:lang w:eastAsia="zh-CN"/>
        </w:rPr>
      </w:pPr>
    </w:p>
    <w:sectPr>
      <w:footerReference r:id="rId5" w:type="default"/>
      <w:pgSz w:w="11900" w:h="16840"/>
      <w:pgMar w:top="1701" w:right="1587" w:bottom="1701" w:left="1587" w:header="0" w:footer="6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lgerian">
    <w:panose1 w:val="04020705040A02060702"/>
    <w:charset w:val="00"/>
    <w:family w:val="auto"/>
    <w:pitch w:val="default"/>
    <w:sig w:usb0="00000003" w:usb1="00000000" w:usb2="00000000" w:usb3="00000000" w:csb0="20000001" w:csb1="00000000"/>
  </w:font>
  <w:font w:name="Yu Gothic UI Semilight">
    <w:panose1 w:val="020B04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Gothic Light">
    <w:panose1 w:val="020B0300000000000000"/>
    <w:charset w:val="80"/>
    <w:family w:val="auto"/>
    <w:pitch w:val="default"/>
    <w:sig w:usb0="E00002FF" w:usb1="2AC7FDFF" w:usb2="00000016" w:usb3="00000000" w:csb0="200200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04"/>
      <w:rPr>
        <w:rFonts w:ascii="宋体" w:hAnsi="宋体" w:eastAsia="宋体" w:cs="宋体"/>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2QxNGFiOWE1ODkzMzJhMTMxNDFlZmVkZTBjOTYzMDQifQ=="/>
  </w:docVars>
  <w:rsids>
    <w:rsidRoot w:val="00000000"/>
    <w:rsid w:val="11353D8A"/>
    <w:rsid w:val="6CD70A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32"/>
      <w:szCs w:val="3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2023-11-17T14:28:00Z</dcterms:created>
  <dc:creator>Kingsoft-PDF</dc:creator>
  <cp:lastModifiedBy>Malu</cp:lastModifiedBy>
  <dcterms:modified xsi:type="dcterms:W3CDTF">2023-11-22T13:46:44Z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2023-11-17T14:28:31Z</vt:filetime>
  </property>
  <property fmtid="{D5CDD505-2E9C-101B-9397-08002B2CF9AE}" pid="4" name="UsrData">
    <vt:lpwstr>6557080bb1044d001fe01646wl</vt:lpwstr>
  </property>
  <property fmtid="{D5CDD505-2E9C-101B-9397-08002B2CF9AE}" pid="5" name="KSOProductBuildVer">
    <vt:lpwstr>2052-12.1.0.15712</vt:lpwstr>
  </property>
  <property fmtid="{D5CDD505-2E9C-101B-9397-08002B2CF9AE}" pid="6" name="ICV">
    <vt:lpwstr>16197E83CDB741B288D5BD1378F74FED_12</vt:lpwstr>
  </property>
</Properties>
</file>