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center"/>
        <w:textAlignment w:val="baseline"/>
      </w:pPr>
      <w:r>
        <w:rPr>
          <w:rFonts w:ascii="方正小标宋简体" w:hAnsi="方正小标宋简体" w:eastAsia="方正小标宋简体" w:cs="方正小标宋简体"/>
          <w:snapToGrid w:val="0"/>
          <w:color w:val="000000"/>
          <w:kern w:val="0"/>
          <w:sz w:val="43"/>
          <w:szCs w:val="43"/>
          <w:lang w:val="en-US" w:eastAsia="zh-CN" w:bidi="ar"/>
        </w:rPr>
        <w:t>枣庄市政务服务管理办公室</w:t>
      </w: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center"/>
        <w:textAlignment w:val="baseline"/>
      </w:pPr>
      <w:r>
        <w:rPr>
          <w:rFonts w:hint="eastAsia" w:ascii="方正小标宋简体" w:hAnsi="方正小标宋简体" w:eastAsia="方正小标宋简体" w:cs="方正小标宋简体"/>
          <w:snapToGrid w:val="0"/>
          <w:color w:val="000000"/>
          <w:kern w:val="0"/>
          <w:sz w:val="43"/>
          <w:szCs w:val="43"/>
          <w:lang w:val="en-US" w:eastAsia="zh-CN" w:bidi="ar"/>
        </w:rPr>
        <w:t>关于印发《枣庄市民中心政务服务投诉处置</w:t>
      </w: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center"/>
        <w:textAlignment w:val="baseline"/>
      </w:pPr>
      <w:r>
        <w:rPr>
          <w:rFonts w:hint="eastAsia" w:ascii="方正小标宋简体" w:hAnsi="方正小标宋简体" w:eastAsia="方正小标宋简体" w:cs="方正小标宋简体"/>
          <w:snapToGrid w:val="0"/>
          <w:color w:val="000000"/>
          <w:kern w:val="0"/>
          <w:sz w:val="43"/>
          <w:szCs w:val="43"/>
          <w:lang w:val="en-US" w:eastAsia="zh-CN" w:bidi="ar"/>
        </w:rPr>
        <w:t>办法》的通知</w:t>
      </w: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left"/>
        <w:textAlignment w:val="baseline"/>
        <w:rPr>
          <w:rFonts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left"/>
        <w:textAlignment w:val="baseline"/>
      </w:pPr>
      <w:r>
        <w:rPr>
          <w:rFonts w:ascii="仿宋_GB2312" w:hAnsi="宋体" w:eastAsia="仿宋_GB2312" w:cs="仿宋_GB2312"/>
          <w:snapToGrid w:val="0"/>
          <w:color w:val="000000"/>
          <w:kern w:val="0"/>
          <w:sz w:val="31"/>
          <w:szCs w:val="31"/>
          <w:lang w:val="en-US" w:eastAsia="zh-CN" w:bidi="ar"/>
        </w:rPr>
        <w:t xml:space="preserve">市民中心各进驻部门、单位： </w:t>
      </w: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 w:firstLineChars="200"/>
        <w:jc w:val="left"/>
        <w:textAlignment w:val="baseline"/>
      </w:pPr>
      <w:r>
        <w:rPr>
          <w:rFonts w:hint="eastAsia" w:ascii="仿宋_GB2312" w:hAnsi="宋体" w:eastAsia="仿宋_GB2312" w:cs="仿宋_GB2312"/>
          <w:snapToGrid w:val="0"/>
          <w:color w:val="000000"/>
          <w:kern w:val="0"/>
          <w:sz w:val="31"/>
          <w:szCs w:val="31"/>
          <w:lang w:val="en-US" w:eastAsia="zh-CN" w:bidi="ar"/>
        </w:rPr>
        <w:t xml:space="preserve">现将《枣庄市民中心政务服务投诉处置办法》印发给你们， </w:t>
      </w: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left"/>
        <w:textAlignment w:val="baseline"/>
      </w:pPr>
      <w:r>
        <w:rPr>
          <w:rFonts w:hint="eastAsia" w:ascii="仿宋_GB2312" w:hAnsi="宋体" w:eastAsia="仿宋_GB2312" w:cs="仿宋_GB2312"/>
          <w:snapToGrid w:val="0"/>
          <w:color w:val="000000"/>
          <w:kern w:val="0"/>
          <w:sz w:val="31"/>
          <w:szCs w:val="31"/>
          <w:lang w:val="en-US" w:eastAsia="zh-CN" w:bidi="ar"/>
        </w:rPr>
        <w:t xml:space="preserve">请认真遵照执行。 </w:t>
      </w: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right"/>
        <w:textAlignment w:val="baseline"/>
      </w:pPr>
      <w:r>
        <w:rPr>
          <w:rFonts w:hint="eastAsia" w:ascii="仿宋_GB2312" w:hAnsi="宋体" w:eastAsia="仿宋_GB2312" w:cs="仿宋_GB2312"/>
          <w:snapToGrid w:val="0"/>
          <w:color w:val="000000"/>
          <w:kern w:val="0"/>
          <w:sz w:val="31"/>
          <w:szCs w:val="31"/>
          <w:lang w:val="en-US" w:eastAsia="zh-CN" w:bidi="ar"/>
        </w:rPr>
        <w:t xml:space="preserve">枣庄市政务服务管理办公室 </w:t>
      </w: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r>
        <w:rPr>
          <w:rFonts w:hint="eastAsia" w:ascii="仿宋_GB2312" w:hAnsi="宋体" w:eastAsia="仿宋_GB2312" w:cs="仿宋_GB2312"/>
          <w:snapToGrid w:val="0"/>
          <w:color w:val="000000"/>
          <w:kern w:val="0"/>
          <w:sz w:val="31"/>
          <w:szCs w:val="31"/>
          <w:lang w:val="en-US" w:eastAsia="zh-CN" w:bidi="ar"/>
        </w:rPr>
        <w:t>2020年2月20日</w:t>
      </w: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ind w:firstLine="6200" w:firstLineChars="2000"/>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600" w:lineRule="exact"/>
        <w:jc w:val="left"/>
        <w:textAlignment w:val="baseline"/>
        <w:rPr>
          <w:rFonts w:hint="eastAsia" w:ascii="仿宋_GB2312" w:hAnsi="宋体" w:eastAsia="仿宋_GB2312" w:cs="仿宋_GB2312"/>
          <w:snapToGrid w:val="0"/>
          <w:color w:val="000000"/>
          <w:kern w:val="0"/>
          <w:sz w:val="31"/>
          <w:szCs w:val="31"/>
          <w:lang w:val="en-US" w:eastAsia="zh-CN" w:bidi="ar"/>
        </w:rPr>
      </w:pPr>
    </w:p>
    <w:p>
      <w:pPr>
        <w:keepNext w:val="0"/>
        <w:keepLines w:val="0"/>
        <w:widowControl/>
        <w:suppressLineNumbers w:val="0"/>
        <w:jc w:val="center"/>
      </w:pPr>
      <w:r>
        <w:rPr>
          <w:rFonts w:ascii="方正小标宋简体" w:hAnsi="方正小标宋简体" w:eastAsia="方正小标宋简体" w:cs="方正小标宋简体"/>
          <w:snapToGrid w:val="0"/>
          <w:color w:val="000000"/>
          <w:kern w:val="0"/>
          <w:sz w:val="43"/>
          <w:szCs w:val="43"/>
          <w:lang w:val="en-US" w:eastAsia="zh-CN" w:bidi="ar"/>
        </w:rPr>
        <w:t>枣庄市民中心政务服务投诉处置办法</w:t>
      </w:r>
    </w:p>
    <w:p>
      <w:pPr>
        <w:keepNext w:val="0"/>
        <w:keepLines w:val="0"/>
        <w:widowControl/>
        <w:suppressLineNumbers w:val="0"/>
        <w:jc w:val="center"/>
        <w:rPr>
          <w:rFonts w:ascii="黑体" w:hAnsi="宋体" w:eastAsia="黑体" w:cs="黑体"/>
          <w:snapToGrid w:val="0"/>
          <w:color w:val="000000"/>
          <w:kern w:val="0"/>
          <w:sz w:val="31"/>
          <w:szCs w:val="31"/>
          <w:lang w:val="en-US" w:eastAsia="zh-CN" w:bidi="ar"/>
        </w:rPr>
      </w:pPr>
    </w:p>
    <w:p>
      <w:pPr>
        <w:keepNext w:val="0"/>
        <w:keepLines w:val="0"/>
        <w:widowControl/>
        <w:numPr>
          <w:ilvl w:val="0"/>
          <w:numId w:val="1"/>
        </w:numPr>
        <w:suppressLineNumbers w:val="0"/>
        <w:jc w:val="center"/>
        <w:rPr>
          <w:rFonts w:hint="eastAsia" w:ascii="黑体" w:hAnsi="宋体" w:eastAsia="黑体" w:cs="黑体"/>
          <w:snapToGrid w:val="0"/>
          <w:color w:val="000000"/>
          <w:kern w:val="0"/>
          <w:sz w:val="31"/>
          <w:szCs w:val="31"/>
          <w:lang w:val="en-US" w:eastAsia="zh-CN" w:bidi="ar"/>
        </w:rPr>
      </w:pPr>
      <w:r>
        <w:rPr>
          <w:rFonts w:hint="eastAsia" w:ascii="黑体" w:hAnsi="宋体" w:eastAsia="黑体" w:cs="黑体"/>
          <w:snapToGrid w:val="0"/>
          <w:color w:val="000000"/>
          <w:kern w:val="0"/>
          <w:sz w:val="31"/>
          <w:szCs w:val="31"/>
          <w:lang w:val="en-US" w:eastAsia="zh-CN" w:bidi="ar"/>
        </w:rPr>
        <w:t xml:space="preserve"> 总  则 </w:t>
      </w:r>
    </w:p>
    <w:p>
      <w:pPr>
        <w:keepNext w:val="0"/>
        <w:keepLines w:val="0"/>
        <w:widowControl/>
        <w:numPr>
          <w:numId w:val="0"/>
        </w:numPr>
        <w:suppressLineNumbers w:val="0"/>
        <w:jc w:val="both"/>
        <w:rPr>
          <w:rFonts w:hint="eastAsia" w:ascii="黑体" w:hAnsi="宋体" w:eastAsia="黑体" w:cs="黑体"/>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第一条</w:t>
      </w:r>
      <w:r>
        <w:rPr>
          <w:rFonts w:hint="eastAsia" w:ascii="仿宋_GB2312" w:hAnsi="仿宋_GB2312" w:eastAsia="仿宋_GB2312" w:cs="仿宋_GB2312"/>
          <w:snapToGrid w:val="0"/>
          <w:color w:val="000000"/>
          <w:kern w:val="0"/>
          <w:sz w:val="32"/>
          <w:szCs w:val="32"/>
          <w:lang w:val="en-US" w:eastAsia="zh-CN" w:bidi="ar"/>
        </w:rPr>
        <w:t xml:space="preserve">  为切实维护服务对象的切身利益，畅通投诉渠道，及时有效地处理服务对象的投诉，促进枣庄市民中心政务服务高效廉洁、依法行政、优质服务，根据《枣庄市市民中心管理暂行办法》等有关规定，制定本办法。 </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_GB2312" w:hAnsi="仿宋_GB2312" w:eastAsia="仿宋_GB2312" w:cs="仿宋_GB2312"/>
          <w:snapToGrid w:val="0"/>
          <w:color w:val="000000"/>
          <w:kern w:val="0"/>
          <w:sz w:val="32"/>
          <w:szCs w:val="32"/>
          <w:lang w:val="en-US" w:eastAsia="zh-CN" w:bidi="ar"/>
        </w:rPr>
      </w:pPr>
      <w:r>
        <w:rPr>
          <w:rFonts w:hint="eastAsia" w:ascii="楷体_GB2312" w:hAnsi="楷体_GB2312" w:eastAsia="楷体_GB2312" w:cs="楷体_GB2312"/>
          <w:snapToGrid w:val="0"/>
          <w:color w:val="000000"/>
          <w:kern w:val="0"/>
          <w:sz w:val="32"/>
          <w:szCs w:val="32"/>
          <w:lang w:val="en-US" w:eastAsia="zh-CN" w:bidi="ar"/>
        </w:rPr>
        <w:t>第二条</w:t>
      </w:r>
      <w:r>
        <w:rPr>
          <w:rFonts w:hint="eastAsia" w:ascii="仿宋_GB2312" w:hAnsi="仿宋_GB2312" w:eastAsia="仿宋_GB2312" w:cs="仿宋_GB2312"/>
          <w:snapToGrid w:val="0"/>
          <w:color w:val="000000"/>
          <w:kern w:val="0"/>
          <w:sz w:val="32"/>
          <w:szCs w:val="32"/>
          <w:lang w:val="en-US" w:eastAsia="zh-CN" w:bidi="ar"/>
        </w:rPr>
        <w:t xml:space="preserve">  投诉处置遵循合理合法、公平公正、尊重事实、快速响应、及时反馈、保守秘密原则。</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第三条</w:t>
      </w:r>
      <w:r>
        <w:rPr>
          <w:rFonts w:hint="eastAsia" w:ascii="仿宋_GB2312" w:hAnsi="仿宋_GB2312" w:eastAsia="仿宋_GB2312" w:cs="仿宋_GB2312"/>
          <w:snapToGrid w:val="0"/>
          <w:color w:val="000000"/>
          <w:kern w:val="0"/>
          <w:sz w:val="32"/>
          <w:szCs w:val="32"/>
          <w:lang w:val="en-US" w:eastAsia="zh-CN" w:bidi="ar"/>
        </w:rPr>
        <w:t xml:space="preserve">  枣庄市政务服务管理办公室（以下简称市政管办）</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 xml:space="preserve">具体承担枣庄市民中心（以下简称市民中心）政务服务投诉处置的指导、协调、监督和统筹职责，以及建立健全“统一受理、首接负责、分类处理、限时办结、过错问责”投诉处置运行机制。市民中心各进驻单位、部门（以下简称进驻单位）具体承担本单位、部门的被投诉事项的处置职责。 </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第四条</w:t>
      </w:r>
      <w:r>
        <w:rPr>
          <w:rFonts w:hint="eastAsia" w:ascii="仿宋_GB2312" w:hAnsi="仿宋_GB2312" w:eastAsia="仿宋_GB2312" w:cs="仿宋_GB2312"/>
          <w:snapToGrid w:val="0"/>
          <w:color w:val="000000"/>
          <w:kern w:val="0"/>
          <w:sz w:val="32"/>
          <w:szCs w:val="32"/>
          <w:lang w:val="en-US" w:eastAsia="zh-CN" w:bidi="ar"/>
        </w:rPr>
        <w:t xml:space="preserve">  市政管办、进驻单位要配置专人（以下简称投诉处置人）负责市民中心政务服务投诉处置工作。 </w:t>
      </w:r>
    </w:p>
    <w:p>
      <w:pPr>
        <w:keepNext w:val="0"/>
        <w:keepLines w:val="0"/>
        <w:widowControl/>
        <w:suppressLineNumbers w:val="0"/>
        <w:jc w:val="left"/>
        <w:rPr>
          <w:rFonts w:hint="eastAsia" w:ascii="黑体" w:hAnsi="宋体" w:eastAsia="黑体" w:cs="黑体"/>
          <w:snapToGrid w:val="0"/>
          <w:color w:val="000000"/>
          <w:kern w:val="0"/>
          <w:sz w:val="31"/>
          <w:szCs w:val="31"/>
          <w:lang w:val="en-US" w:eastAsia="zh-CN" w:bidi="ar"/>
        </w:rPr>
      </w:pPr>
    </w:p>
    <w:p>
      <w:pPr>
        <w:keepNext w:val="0"/>
        <w:keepLines w:val="0"/>
        <w:widowControl/>
        <w:numPr>
          <w:ilvl w:val="0"/>
          <w:numId w:val="0"/>
        </w:numPr>
        <w:suppressLineNumbers w:val="0"/>
        <w:jc w:val="center"/>
        <w:rPr>
          <w:rFonts w:hint="eastAsia" w:ascii="黑体" w:hAnsi="宋体" w:eastAsia="黑体" w:cs="黑体"/>
          <w:snapToGrid w:val="0"/>
          <w:color w:val="000000"/>
          <w:kern w:val="0"/>
          <w:sz w:val="31"/>
          <w:szCs w:val="31"/>
          <w:lang w:val="en-US" w:eastAsia="zh-CN" w:bidi="ar"/>
        </w:rPr>
      </w:pPr>
      <w:r>
        <w:rPr>
          <w:rFonts w:hint="eastAsia" w:ascii="黑体" w:hAnsi="宋体" w:eastAsia="黑体" w:cs="黑体"/>
          <w:snapToGrid w:val="0"/>
          <w:color w:val="000000"/>
          <w:kern w:val="0"/>
          <w:sz w:val="31"/>
          <w:szCs w:val="31"/>
          <w:lang w:val="en-US" w:eastAsia="zh-CN" w:bidi="ar"/>
        </w:rPr>
        <w:t>第二章</w:t>
      </w:r>
      <w:r>
        <w:rPr>
          <w:rFonts w:hint="eastAsia" w:ascii="黑体" w:hAnsi="宋体" w:eastAsia="黑体" w:cs="黑体"/>
          <w:snapToGrid w:val="0"/>
          <w:color w:val="000000"/>
          <w:kern w:val="0"/>
          <w:sz w:val="31"/>
          <w:szCs w:val="31"/>
          <w:lang w:val="en-US" w:eastAsia="zh-CN" w:bidi="ar"/>
        </w:rPr>
        <w:t>投诉渠道、方式</w:t>
      </w:r>
    </w:p>
    <w:p>
      <w:pPr>
        <w:keepNext w:val="0"/>
        <w:keepLines w:val="0"/>
        <w:widowControl/>
        <w:numPr>
          <w:ilvl w:val="0"/>
          <w:numId w:val="0"/>
        </w:numPr>
        <w:suppressLineNumbers w:val="0"/>
        <w:jc w:val="both"/>
        <w:rPr>
          <w:rFonts w:hint="eastAsia" w:ascii="黑体" w:hAnsi="宋体" w:eastAsia="黑体" w:cs="黑体"/>
          <w:snapToGrid w:val="0"/>
          <w:color w:val="000000"/>
          <w:kern w:val="0"/>
          <w:sz w:val="31"/>
          <w:szCs w:val="31"/>
          <w:lang w:val="en-US" w:eastAsia="zh-CN" w:bidi="ar"/>
        </w:rPr>
      </w:pP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第五条</w:t>
      </w:r>
      <w:r>
        <w:rPr>
          <w:rFonts w:hint="eastAsia" w:ascii="仿宋_GB2312" w:hAnsi="仿宋_GB2312" w:eastAsia="仿宋_GB2312" w:cs="仿宋_GB2312"/>
          <w:snapToGrid w:val="0"/>
          <w:color w:val="000000"/>
          <w:kern w:val="0"/>
          <w:sz w:val="32"/>
          <w:szCs w:val="32"/>
          <w:lang w:val="en-US" w:eastAsia="zh-CN" w:bidi="ar"/>
        </w:rPr>
        <w:t xml:space="preserve">  市政管办、进驻单位公开投诉处置的接待场所、意见箱、电话号码、网址、电子邮箱以及信函邮寄地址等，确保渠道畅通有效、便捷可及。 </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 xml:space="preserve">第六条 市政管办、进驻单位确保现场投诉有人受理，对外公布的投诉电话在工作时间内随时有人接听，工作日每天定时查看意见箱、网络等投诉情况。 </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第七条</w:t>
      </w:r>
      <w:r>
        <w:rPr>
          <w:rFonts w:hint="eastAsia" w:ascii="仿宋_GB2312" w:hAnsi="仿宋_GB2312" w:eastAsia="仿宋_GB2312" w:cs="仿宋_GB2312"/>
          <w:snapToGrid w:val="0"/>
          <w:color w:val="000000"/>
          <w:kern w:val="0"/>
          <w:sz w:val="32"/>
          <w:szCs w:val="32"/>
          <w:lang w:val="en-US" w:eastAsia="zh-CN" w:bidi="ar"/>
        </w:rPr>
        <w:t xml:space="preserve">  投诉人可以通过信函、电话、传真、网络等方式进行投诉，但涉及重大事项的投诉，应采用书面形式。投诉人应当如实反映情况，对所投诉事项的真实性负相应责任。 </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第八条</w:t>
      </w:r>
      <w:r>
        <w:rPr>
          <w:rFonts w:hint="eastAsia" w:ascii="仿宋_GB2312" w:hAnsi="仿宋_GB2312" w:eastAsia="仿宋_GB2312" w:cs="仿宋_GB2312"/>
          <w:snapToGrid w:val="0"/>
          <w:color w:val="000000"/>
          <w:kern w:val="0"/>
          <w:sz w:val="32"/>
          <w:szCs w:val="32"/>
          <w:lang w:val="en-US" w:eastAsia="zh-CN" w:bidi="ar"/>
        </w:rPr>
        <w:t xml:space="preserve">  投诉人可以到市民中心总咨询服务台、市行政审批服务局综合服务区找茬窗口，以及各进驻单位区域的咨询服务台进行现场投诉。 </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第九条</w:t>
      </w:r>
      <w:r>
        <w:rPr>
          <w:rFonts w:hint="eastAsia" w:ascii="仿宋_GB2312" w:hAnsi="仿宋_GB2312" w:eastAsia="仿宋_GB2312" w:cs="仿宋_GB2312"/>
          <w:snapToGrid w:val="0"/>
          <w:color w:val="000000"/>
          <w:kern w:val="0"/>
          <w:sz w:val="32"/>
          <w:szCs w:val="32"/>
          <w:lang w:val="en-US" w:eastAsia="zh-CN" w:bidi="ar"/>
        </w:rPr>
        <w:t xml:space="preserve">  投诉人投诉时应告知被投诉的单位和窗口名称，被投诉人姓名、工位号，具体事实情节和有效合法证据等。 </w:t>
      </w:r>
    </w:p>
    <w:p>
      <w:pPr>
        <w:keepNext w:val="0"/>
        <w:keepLines w:val="0"/>
        <w:widowControl/>
        <w:suppressLineNumbers w:val="0"/>
        <w:jc w:val="center"/>
        <w:rPr>
          <w:rFonts w:hint="eastAsia" w:ascii="黑体" w:hAnsi="宋体" w:eastAsia="黑体" w:cs="黑体"/>
          <w:snapToGrid w:val="0"/>
          <w:color w:val="000000"/>
          <w:kern w:val="0"/>
          <w:sz w:val="31"/>
          <w:szCs w:val="31"/>
          <w:lang w:val="en-US" w:eastAsia="zh-CN" w:bidi="ar"/>
        </w:rPr>
      </w:pPr>
    </w:p>
    <w:p>
      <w:pPr>
        <w:keepNext w:val="0"/>
        <w:keepLines w:val="0"/>
        <w:widowControl/>
        <w:numPr>
          <w:ilvl w:val="0"/>
          <w:numId w:val="0"/>
        </w:numPr>
        <w:suppressLineNumbers w:val="0"/>
        <w:ind w:left="0" w:leftChars="0" w:firstLine="0" w:firstLineChars="0"/>
        <w:jc w:val="center"/>
        <w:rPr>
          <w:rFonts w:hint="eastAsia" w:ascii="黑体" w:hAnsi="宋体" w:eastAsia="黑体" w:cs="黑体"/>
          <w:snapToGrid w:val="0"/>
          <w:color w:val="000000"/>
          <w:kern w:val="0"/>
          <w:sz w:val="31"/>
          <w:szCs w:val="31"/>
          <w:lang w:val="en-US" w:eastAsia="zh-CN" w:bidi="ar"/>
        </w:rPr>
      </w:pPr>
      <w:r>
        <w:rPr>
          <w:rFonts w:hint="eastAsia" w:ascii="黑体" w:hAnsi="宋体" w:eastAsia="黑体" w:cs="黑体"/>
          <w:snapToGrid w:val="0"/>
          <w:color w:val="000000"/>
          <w:kern w:val="0"/>
          <w:sz w:val="31"/>
          <w:szCs w:val="31"/>
          <w:lang w:val="en-US" w:eastAsia="zh-CN" w:bidi="ar"/>
        </w:rPr>
        <w:t>第三章</w:t>
      </w:r>
      <w:r>
        <w:rPr>
          <w:rFonts w:hint="eastAsia" w:ascii="黑体" w:hAnsi="宋体" w:eastAsia="黑体" w:cs="黑体"/>
          <w:snapToGrid w:val="0"/>
          <w:color w:val="000000"/>
          <w:kern w:val="0"/>
          <w:sz w:val="31"/>
          <w:szCs w:val="31"/>
          <w:lang w:val="en-US" w:eastAsia="zh-CN" w:bidi="ar"/>
        </w:rPr>
        <w:t>处置程序</w:t>
      </w:r>
    </w:p>
    <w:p>
      <w:pPr>
        <w:keepNext w:val="0"/>
        <w:keepLines w:val="0"/>
        <w:widowControl/>
        <w:numPr>
          <w:ilvl w:val="0"/>
          <w:numId w:val="0"/>
        </w:numPr>
        <w:suppressLineNumbers w:val="0"/>
        <w:ind w:leftChars="0"/>
        <w:jc w:val="both"/>
        <w:rPr>
          <w:rFonts w:hint="eastAsia" w:ascii="黑体" w:hAnsi="宋体" w:eastAsia="黑体" w:cs="黑体"/>
          <w:snapToGrid w:val="0"/>
          <w:color w:val="000000"/>
          <w:kern w:val="0"/>
          <w:sz w:val="31"/>
          <w:szCs w:val="31"/>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第十条</w:t>
      </w:r>
      <w:r>
        <w:rPr>
          <w:rFonts w:hint="eastAsia" w:ascii="仿宋_GB2312" w:hAnsi="仿宋_GB2312" w:eastAsia="仿宋_GB2312" w:cs="仿宋_GB2312"/>
          <w:snapToGrid w:val="0"/>
          <w:color w:val="000000"/>
          <w:kern w:val="0"/>
          <w:sz w:val="32"/>
          <w:szCs w:val="32"/>
          <w:lang w:val="en-US" w:eastAsia="zh-CN" w:bidi="ar"/>
        </w:rPr>
        <w:t xml:space="preserve">  市政管办对于属于进驻单位所辖权限的市民中心政务服务的投诉均应受理，以下情形除外： </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
        </w:rPr>
      </w:pPr>
      <w:r>
        <w:rPr>
          <w:rFonts w:hint="eastAsia" w:ascii="仿宋_GB2312" w:hAnsi="仿宋_GB2312" w:eastAsia="仿宋_GB2312" w:cs="仿宋_GB2312"/>
          <w:snapToGrid w:val="0"/>
          <w:color w:val="000000"/>
          <w:kern w:val="0"/>
          <w:sz w:val="32"/>
          <w:szCs w:val="32"/>
          <w:lang w:val="en-US" w:eastAsia="zh-CN" w:bidi="ar"/>
        </w:rPr>
        <w:t>1.投诉人不是合法权益被侵害的本人或利害关系人的；</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 xml:space="preserve">2.已经或依法应当通过诉讼、仲裁、行政复议、信访等法定途径解决的； </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3.投诉内容不具体或没有明确的投诉对象，无法处置的；</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4.投诉人未能提供联系方式或在规定时间内无法提供必要证据的；</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
        </w:rPr>
      </w:pPr>
      <w:r>
        <w:rPr>
          <w:rFonts w:hint="eastAsia" w:ascii="仿宋_GB2312" w:hAnsi="仿宋_GB2312" w:eastAsia="仿宋_GB2312" w:cs="仿宋_GB2312"/>
          <w:snapToGrid w:val="0"/>
          <w:color w:val="000000"/>
          <w:kern w:val="0"/>
          <w:sz w:val="32"/>
          <w:szCs w:val="32"/>
          <w:lang w:val="en-US" w:eastAsia="zh-CN" w:bidi="ar"/>
        </w:rPr>
        <w:t>5.凡涉及纪委、监委、政府督查室督办的违规违纪违法的投诉。</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
        </w:rPr>
      </w:pPr>
      <w:r>
        <w:rPr>
          <w:rFonts w:hint="eastAsia" w:ascii="楷体_GB2312" w:hAnsi="楷体_GB2312" w:eastAsia="楷体_GB2312" w:cs="楷体_GB2312"/>
          <w:snapToGrid w:val="0"/>
          <w:color w:val="000000"/>
          <w:kern w:val="0"/>
          <w:sz w:val="32"/>
          <w:szCs w:val="32"/>
          <w:lang w:val="en-US" w:eastAsia="zh-CN" w:bidi="ar"/>
        </w:rPr>
        <w:t>第十一条</w:t>
      </w:r>
      <w:r>
        <w:rPr>
          <w:rFonts w:hint="eastAsia" w:ascii="仿宋_GB2312" w:hAnsi="仿宋_GB2312" w:eastAsia="仿宋_GB2312" w:cs="仿宋_GB2312"/>
          <w:snapToGrid w:val="0"/>
          <w:color w:val="000000"/>
          <w:kern w:val="0"/>
          <w:sz w:val="32"/>
          <w:szCs w:val="32"/>
          <w:lang w:val="en-US" w:eastAsia="zh-CN" w:bidi="ar"/>
        </w:rPr>
        <w:t xml:space="preserve">  投诉处置人受理投诉时要态度诚恳，主动稳定投诉人情绪，认真倾听诉求；在事实未调查核实前不得主观随意表态。</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第十二条</w:t>
      </w:r>
      <w:r>
        <w:rPr>
          <w:rFonts w:hint="eastAsia" w:ascii="仿宋_GB2312" w:hAnsi="仿宋_GB2312" w:eastAsia="仿宋_GB2312" w:cs="仿宋_GB2312"/>
          <w:snapToGrid w:val="0"/>
          <w:color w:val="000000"/>
          <w:kern w:val="0"/>
          <w:sz w:val="32"/>
          <w:szCs w:val="32"/>
          <w:lang w:val="en-US" w:eastAsia="zh-CN" w:bidi="ar"/>
        </w:rPr>
        <w:t xml:space="preserve">  投诉处置人接到现场投诉后，应及时到达现场，</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主动亮明身份，能够现场沟通化解的，及时处置，并做好事后记录；不能够现场沟通化解的，应将投诉人引导至投诉处置场所。</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第十三条</w:t>
      </w:r>
      <w:r>
        <w:rPr>
          <w:rFonts w:hint="eastAsia" w:ascii="仿宋_GB2312" w:hAnsi="仿宋_GB2312" w:eastAsia="仿宋_GB2312" w:cs="仿宋_GB2312"/>
          <w:snapToGrid w:val="0"/>
          <w:color w:val="000000"/>
          <w:kern w:val="0"/>
          <w:sz w:val="32"/>
          <w:szCs w:val="32"/>
          <w:lang w:val="en-US" w:eastAsia="zh-CN" w:bidi="ar"/>
        </w:rPr>
        <w:t xml:space="preserve">  投诉处置人接到电话投诉举报时，应主动向投诉人表明身份，详细了解投诉人的基本信息和诉求。</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第十四条</w:t>
      </w:r>
      <w:r>
        <w:rPr>
          <w:rFonts w:hint="eastAsia" w:ascii="仿宋_GB2312" w:hAnsi="仿宋_GB2312" w:eastAsia="仿宋_GB2312" w:cs="仿宋_GB2312"/>
          <w:snapToGrid w:val="0"/>
          <w:color w:val="000000"/>
          <w:kern w:val="0"/>
          <w:sz w:val="32"/>
          <w:szCs w:val="32"/>
          <w:lang w:val="en-US" w:eastAsia="zh-CN" w:bidi="ar"/>
        </w:rPr>
        <w:t xml:space="preserve">  投诉处置人每个工作日应检查意见箱、信函及网络等渠道是否有投诉，并在 1 个工作日内主动回应投诉人。对投诉举报信函和提交的书面材料，要逐件拆阅，认真分析并做好登记，区别情况加以分类；对署名和匿名投诉都要认真对待，妥善处理；对署实名投诉举报的优先排查，认真反馈，并做好档案保存。</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第十五条</w:t>
      </w:r>
      <w:r>
        <w:rPr>
          <w:rFonts w:hint="eastAsia" w:ascii="仿宋_GB2312" w:hAnsi="仿宋_GB2312" w:eastAsia="仿宋_GB2312" w:cs="仿宋_GB2312"/>
          <w:snapToGrid w:val="0"/>
          <w:color w:val="000000"/>
          <w:kern w:val="0"/>
          <w:sz w:val="32"/>
          <w:szCs w:val="32"/>
          <w:lang w:val="en-US" w:eastAsia="zh-CN" w:bidi="ar"/>
        </w:rPr>
        <w:t xml:space="preserve">  投诉处置人受理投诉时应做好投诉记录，其要素包括但不限于：投诉人的姓名、地址、联系电话，投诉对象、投诉时间、投诉方式，诉求、事实和证据等。</w:t>
      </w:r>
    </w:p>
    <w:p>
      <w:pPr>
        <w:keepNext w:val="0"/>
        <w:keepLines w:val="0"/>
        <w:pageBreakBefore w:val="0"/>
        <w:widowControl/>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 xml:space="preserve">第十六条 </w:t>
      </w:r>
      <w:r>
        <w:rPr>
          <w:rFonts w:hint="eastAsia" w:ascii="仿宋_GB2312" w:hAnsi="仿宋_GB2312" w:eastAsia="仿宋_GB2312" w:cs="仿宋_GB2312"/>
          <w:snapToGrid w:val="0"/>
          <w:color w:val="000000"/>
          <w:kern w:val="0"/>
          <w:sz w:val="32"/>
          <w:szCs w:val="32"/>
          <w:lang w:val="en-US" w:eastAsia="zh-CN" w:bidi="ar"/>
        </w:rPr>
        <w:t xml:space="preserve"> 投诉处置人对不属于受理范围内的投诉事项，应告知投诉人不予受理的理由；对不属于进驻部门所辖权限的市民中心政务服务事项的，告知其管辖部门。 </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第十七条</w:t>
      </w:r>
      <w:r>
        <w:rPr>
          <w:rFonts w:hint="eastAsia" w:ascii="仿宋_GB2312" w:hAnsi="仿宋_GB2312" w:eastAsia="仿宋_GB2312" w:cs="仿宋_GB2312"/>
          <w:snapToGrid w:val="0"/>
          <w:color w:val="000000"/>
          <w:kern w:val="0"/>
          <w:sz w:val="32"/>
          <w:szCs w:val="32"/>
          <w:lang w:val="en-US" w:eastAsia="zh-CN" w:bidi="ar"/>
        </w:rPr>
        <w:t xml:space="preserve">  投诉处置人对于投诉人要求不便于公开的事项，要严格做好保密工作。 </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第十八条</w:t>
      </w:r>
      <w:r>
        <w:rPr>
          <w:rFonts w:hint="eastAsia" w:ascii="仿宋_GB2312" w:hAnsi="仿宋_GB2312" w:eastAsia="仿宋_GB2312" w:cs="仿宋_GB2312"/>
          <w:snapToGrid w:val="0"/>
          <w:color w:val="000000"/>
          <w:kern w:val="0"/>
          <w:sz w:val="32"/>
          <w:szCs w:val="32"/>
          <w:lang w:val="en-US" w:eastAsia="zh-CN" w:bidi="ar"/>
        </w:rPr>
        <w:t xml:space="preserve">  市政管办、进驻单位投诉处置人受理投诉后，按以下处置程序办理：</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（一）现场处置。投诉问题属于事实清楚或情由简单的现场投诉，应当场处置办结。</w:t>
      </w:r>
    </w:p>
    <w:p>
      <w:pPr>
        <w:keepNext w:val="0"/>
        <w:keepLines w:val="0"/>
        <w:pageBreakBefore w:val="0"/>
        <w:widowControl/>
        <w:suppressLineNumbers w:val="0"/>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（二）转办。投诉问题属于事实清楚或情由简单的非现场投诉，由市政管办将《枣庄市民中心投诉处置单》（见附件）直接转至相关进驻单位投诉处置人或首席代表，1 个工作日内处置办结。</w:t>
      </w:r>
    </w:p>
    <w:p>
      <w:pPr>
        <w:keepNext w:val="0"/>
        <w:keepLines w:val="0"/>
        <w:pageBreakBefore w:val="0"/>
        <w:widowControl/>
        <w:suppressLineNumbers w:val="0"/>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三）批办。投诉问题属于事实不清或情由复杂需要进一步调查的投诉，报相应分管领导批办，投诉处置人根据批办意见，将投诉处置单转至相关进驻单位分管领导，应在接到投诉后3个工作日内处置办结；情由特别复杂的投诉，经相应分管领导批准可适当延长办理时限，延长时限不超过 2 个工作日。</w:t>
      </w:r>
    </w:p>
    <w:p>
      <w:pPr>
        <w:keepNext w:val="0"/>
        <w:keepLines w:val="0"/>
        <w:pageBreakBefore w:val="0"/>
        <w:widowControl w:val="0"/>
        <w:suppressLineNumbers w:val="0"/>
        <w:kinsoku w:val="0"/>
        <w:wordWrap/>
        <w:overflowPunct/>
        <w:topLinePunct/>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 xml:space="preserve">（四）反馈。在处置时限内，被投诉的进驻单位应及时完成投诉处理，并认真填写《枣庄市民中心投诉处置反馈单》（见附件），加盖单位公章并经分管领导签字后一式三份反馈至市政管办。对于不能在规定时限内处置完毕的投诉事项，被投诉的进驻单位要提交《枣庄市民中心投诉处理延期申请单》（见附件）至市政管办，经审核确需延期的，由市政管办提出延期时限转至被投诉处理单位延期处理。 </w:t>
      </w:r>
    </w:p>
    <w:p>
      <w:pPr>
        <w:keepNext w:val="0"/>
        <w:keepLines w:val="0"/>
        <w:pageBreakBefore w:val="0"/>
        <w:widowControl w:val="0"/>
        <w:suppressLineNumbers w:val="0"/>
        <w:kinsoku w:val="0"/>
        <w:wordWrap/>
        <w:overflowPunct/>
        <w:topLinePunct/>
        <w:autoSpaceDE w:val="0"/>
        <w:autoSpaceDN w:val="0"/>
        <w:bidi w:val="0"/>
        <w:adjustRightInd w:val="0"/>
        <w:snapToGrid w:val="0"/>
        <w:spacing w:line="540" w:lineRule="exact"/>
        <w:ind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（五）回访。对于处理完毕的投诉事项，由市政管办在3个工作日内对投诉人进行回访，详细了解投诉人的满意情况，征询 其意见和建议，以进一步改进工作；对于处理不满意的，详细记录原因，确属被投诉处理单位处置不到位的，继续转至被投诉单位限期处置，确保投诉人满意。</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line="540" w:lineRule="exact"/>
        <w:ind w:firstLine="640" w:firstLineChars="200"/>
        <w:jc w:val="left"/>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（六）资料归档。市政管办将投诉处置相关资料按照归档要求整理归档，留存《枣庄市民中心投诉处理单》、《枣庄市民中心投诉处理反馈单》等投诉处置材料。</w:t>
      </w:r>
    </w:p>
    <w:p>
      <w:pPr>
        <w:keepNext w:val="0"/>
        <w:keepLines w:val="0"/>
        <w:pageBreakBefore w:val="0"/>
        <w:widowControl/>
        <w:suppressLineNumbers w:val="0"/>
        <w:kinsoku w:val="0"/>
        <w:wordWrap/>
        <w:overflowPunct/>
        <w:topLinePunct w:val="0"/>
        <w:autoSpaceDE w:val="0"/>
        <w:autoSpaceDN w:val="0"/>
        <w:bidi w:val="0"/>
        <w:adjustRightInd w:val="0"/>
        <w:snapToGrid w:val="0"/>
        <w:spacing w:line="540" w:lineRule="exact"/>
        <w:ind w:firstLine="620" w:firstLineChars="200"/>
        <w:jc w:val="center"/>
        <w:textAlignment w:val="baseline"/>
        <w:rPr>
          <w:rFonts w:hint="eastAsia" w:ascii="黑体" w:hAnsi="宋体" w:eastAsia="黑体" w:cs="黑体"/>
          <w:snapToGrid w:val="0"/>
          <w:color w:val="000000"/>
          <w:kern w:val="0"/>
          <w:sz w:val="31"/>
          <w:szCs w:val="31"/>
          <w:lang w:val="en-US" w:eastAsia="zh-CN" w:bidi="ar"/>
        </w:rPr>
      </w:pPr>
    </w:p>
    <w:p>
      <w:pPr>
        <w:keepNext w:val="0"/>
        <w:keepLines w:val="0"/>
        <w:pageBreakBefore w:val="0"/>
        <w:widowControl/>
        <w:numPr>
          <w:numId w:val="0"/>
        </w:numPr>
        <w:suppressLineNumbers w:val="0"/>
        <w:kinsoku w:val="0"/>
        <w:wordWrap/>
        <w:overflowPunct/>
        <w:topLinePunct w:val="0"/>
        <w:autoSpaceDE w:val="0"/>
        <w:autoSpaceDN w:val="0"/>
        <w:bidi w:val="0"/>
        <w:adjustRightInd w:val="0"/>
        <w:snapToGrid w:val="0"/>
        <w:spacing w:line="540" w:lineRule="exact"/>
        <w:ind w:leftChars="0"/>
        <w:jc w:val="center"/>
        <w:textAlignment w:val="baseline"/>
        <w:rPr>
          <w:rFonts w:hint="eastAsia" w:ascii="仿宋_GB2312" w:hAnsi="仿宋_GB2312" w:eastAsia="仿宋_GB2312" w:cs="仿宋_GB2312"/>
          <w:snapToGrid w:val="0"/>
          <w:color w:val="000000"/>
          <w:kern w:val="0"/>
          <w:sz w:val="32"/>
          <w:szCs w:val="32"/>
          <w:lang w:val="en-US" w:eastAsia="zh-CN" w:bidi="ar"/>
        </w:rPr>
      </w:pPr>
      <w:r>
        <w:rPr>
          <w:rFonts w:hint="eastAsia" w:ascii="黑体" w:hAnsi="黑体" w:eastAsia="黑体" w:cs="黑体"/>
          <w:snapToGrid w:val="0"/>
          <w:color w:val="000000"/>
          <w:kern w:val="0"/>
          <w:sz w:val="32"/>
          <w:szCs w:val="32"/>
          <w:lang w:val="en-US" w:eastAsia="zh-CN" w:bidi="ar"/>
        </w:rPr>
        <w:t>第四章  处置结果运用</w:t>
      </w:r>
    </w:p>
    <w:p>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line="540" w:lineRule="exact"/>
        <w:ind w:leftChars="0"/>
        <w:jc w:val="both"/>
        <w:textAlignment w:val="baseline"/>
        <w:rPr>
          <w:rFonts w:hint="eastAsia" w:ascii="仿宋_GB2312" w:hAnsi="仿宋_GB2312" w:eastAsia="仿宋_GB2312" w:cs="仿宋_GB2312"/>
          <w:snapToGrid w:val="0"/>
          <w:color w:val="000000"/>
          <w:kern w:val="0"/>
          <w:sz w:val="32"/>
          <w:szCs w:val="32"/>
          <w:lang w:val="en-US" w:eastAsia="zh-CN" w:bidi="ar"/>
        </w:rPr>
      </w:pPr>
    </w:p>
    <w:p>
      <w:pPr>
        <w:keepNext w:val="0"/>
        <w:keepLines w:val="0"/>
        <w:pageBreakBefore w:val="0"/>
        <w:widowControl/>
        <w:suppressLineNumbers w:val="0"/>
        <w:kinsoku w:val="0"/>
        <w:wordWrap/>
        <w:overflowPunct/>
        <w:topLinePunct w:val="0"/>
        <w:autoSpaceDE w:val="0"/>
        <w:autoSpaceDN w:val="0"/>
        <w:bidi w:val="0"/>
        <w:adjustRightInd w:val="0"/>
        <w:snapToGrid w:val="0"/>
        <w:spacing w:line="540" w:lineRule="exact"/>
        <w:ind w:firstLine="640" w:firstLineChars="200"/>
        <w:jc w:val="both"/>
        <w:textAlignment w:val="baseline"/>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第十九条</w:t>
      </w:r>
      <w:r>
        <w:rPr>
          <w:rFonts w:hint="eastAsia" w:ascii="仿宋_GB2312" w:hAnsi="仿宋_GB2312" w:eastAsia="仿宋_GB2312" w:cs="仿宋_GB2312"/>
          <w:snapToGrid w:val="0"/>
          <w:color w:val="000000"/>
          <w:kern w:val="0"/>
          <w:sz w:val="32"/>
          <w:szCs w:val="32"/>
          <w:lang w:val="en-US" w:eastAsia="zh-CN" w:bidi="ar"/>
        </w:rPr>
        <w:t xml:space="preserve">  投诉问题经查实确属被投诉单位问题的或未按规定时限处置的，予以通报批评、责令整改、取消评先树优资格等；情节严重的或发现被投诉人涉嫌违法违纪的，按规定移交相关部门。</w:t>
      </w:r>
    </w:p>
    <w:p>
      <w:pPr>
        <w:keepNext w:val="0"/>
        <w:keepLines w:val="0"/>
        <w:pageBreakBefore w:val="0"/>
        <w:widowControl/>
        <w:suppressLineNumbers w:val="0"/>
        <w:kinsoku w:val="0"/>
        <w:wordWrap/>
        <w:overflowPunct/>
        <w:bidi w:val="0"/>
        <w:adjustRightInd w:val="0"/>
        <w:snapToGrid w:val="0"/>
        <w:spacing w:line="540" w:lineRule="exact"/>
        <w:ind w:firstLine="640" w:firstLineChars="200"/>
        <w:jc w:val="both"/>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第二十条</w:t>
      </w:r>
      <w:r>
        <w:rPr>
          <w:rFonts w:hint="eastAsia" w:ascii="仿宋_GB2312" w:hAnsi="仿宋_GB2312" w:eastAsia="仿宋_GB2312" w:cs="仿宋_GB2312"/>
          <w:snapToGrid w:val="0"/>
          <w:color w:val="000000"/>
          <w:kern w:val="0"/>
          <w:sz w:val="32"/>
          <w:szCs w:val="32"/>
          <w:lang w:val="en-US" w:eastAsia="zh-CN" w:bidi="ar"/>
        </w:rPr>
        <w:t xml:space="preserve">  市政管办应将投诉处置结果通报相关单位，并作为相关考核的重要依据。 </w:t>
      </w:r>
    </w:p>
    <w:p>
      <w:pPr>
        <w:keepNext w:val="0"/>
        <w:keepLines w:val="0"/>
        <w:pageBreakBefore w:val="0"/>
        <w:widowControl/>
        <w:suppressLineNumbers w:val="0"/>
        <w:kinsoku w:val="0"/>
        <w:wordWrap/>
        <w:overflowPunct/>
        <w:bidi w:val="0"/>
        <w:adjustRightInd w:val="0"/>
        <w:snapToGrid w:val="0"/>
        <w:spacing w:line="540" w:lineRule="exact"/>
        <w:ind w:firstLine="640" w:firstLineChars="200"/>
        <w:jc w:val="both"/>
        <w:rPr>
          <w:rFonts w:hint="eastAsia" w:ascii="仿宋_GB2312" w:hAnsi="仿宋_GB2312" w:eastAsia="仿宋_GB2312" w:cs="仿宋_GB2312"/>
          <w:sz w:val="32"/>
          <w:szCs w:val="32"/>
        </w:rPr>
      </w:pPr>
      <w:r>
        <w:rPr>
          <w:rFonts w:hint="eastAsia" w:ascii="楷体_GB2312" w:hAnsi="楷体_GB2312" w:eastAsia="楷体_GB2312" w:cs="楷体_GB2312"/>
          <w:snapToGrid w:val="0"/>
          <w:color w:val="000000"/>
          <w:kern w:val="0"/>
          <w:sz w:val="32"/>
          <w:szCs w:val="32"/>
          <w:lang w:val="en-US" w:eastAsia="zh-CN" w:bidi="ar"/>
        </w:rPr>
        <w:t>第二十一条</w:t>
      </w:r>
      <w:r>
        <w:rPr>
          <w:rFonts w:hint="eastAsia" w:ascii="仿宋_GB2312" w:hAnsi="仿宋_GB2312" w:eastAsia="仿宋_GB2312" w:cs="仿宋_GB2312"/>
          <w:snapToGrid w:val="0"/>
          <w:color w:val="000000"/>
          <w:kern w:val="0"/>
          <w:sz w:val="32"/>
          <w:szCs w:val="32"/>
          <w:lang w:val="en-US" w:eastAsia="zh-CN" w:bidi="ar"/>
        </w:rPr>
        <w:t xml:space="preserve">  市政管办应定期统计、分析投诉处置结果，不定期召开进驻部门分管领导座谈会，不断改进市民中心政务服务，提升政务服务质量和效能。</w:t>
      </w:r>
    </w:p>
    <w:p>
      <w:pPr>
        <w:keepNext w:val="0"/>
        <w:keepLines w:val="0"/>
        <w:pageBreakBefore w:val="0"/>
        <w:widowControl/>
        <w:suppressLineNumbers w:val="0"/>
        <w:kinsoku w:val="0"/>
        <w:wordWrap/>
        <w:overflowPunct/>
        <w:bidi w:val="0"/>
        <w:adjustRightInd w:val="0"/>
        <w:snapToGrid w:val="0"/>
        <w:spacing w:line="540" w:lineRule="exact"/>
        <w:jc w:val="left"/>
        <w:rPr>
          <w:rFonts w:hint="eastAsia" w:ascii="黑体" w:hAnsi="宋体" w:eastAsia="黑体" w:cs="黑体"/>
          <w:snapToGrid w:val="0"/>
          <w:color w:val="000000"/>
          <w:kern w:val="0"/>
          <w:sz w:val="31"/>
          <w:szCs w:val="31"/>
          <w:lang w:val="en-US" w:eastAsia="zh-CN" w:bidi="ar"/>
        </w:rPr>
      </w:pPr>
    </w:p>
    <w:p>
      <w:pPr>
        <w:keepNext w:val="0"/>
        <w:keepLines w:val="0"/>
        <w:pageBreakBefore w:val="0"/>
        <w:widowControl/>
        <w:numPr>
          <w:ilvl w:val="0"/>
          <w:numId w:val="0"/>
        </w:numPr>
        <w:suppressLineNumbers w:val="0"/>
        <w:kinsoku w:val="0"/>
        <w:wordWrap/>
        <w:overflowPunct/>
        <w:bidi w:val="0"/>
        <w:adjustRightInd w:val="0"/>
        <w:snapToGrid w:val="0"/>
        <w:spacing w:line="540" w:lineRule="exact"/>
        <w:ind w:left="0" w:leftChars="0" w:firstLine="0" w:firstLineChars="0"/>
        <w:jc w:val="center"/>
        <w:rPr>
          <w:rFonts w:hint="eastAsia" w:ascii="黑体" w:hAnsi="宋体" w:eastAsia="黑体" w:cs="黑体"/>
          <w:snapToGrid w:val="0"/>
          <w:color w:val="000000"/>
          <w:kern w:val="0"/>
          <w:sz w:val="31"/>
          <w:szCs w:val="31"/>
          <w:lang w:val="en-US" w:eastAsia="zh-CN" w:bidi="ar"/>
        </w:rPr>
      </w:pPr>
      <w:r>
        <w:rPr>
          <w:rFonts w:hint="eastAsia" w:ascii="黑体" w:hAnsi="宋体" w:eastAsia="黑体" w:cs="黑体"/>
          <w:snapToGrid w:val="0"/>
          <w:color w:val="000000"/>
          <w:kern w:val="0"/>
          <w:sz w:val="31"/>
          <w:szCs w:val="31"/>
          <w:lang w:val="en-US" w:eastAsia="zh-CN" w:bidi="ar"/>
        </w:rPr>
        <w:t xml:space="preserve">第五章  </w:t>
      </w:r>
      <w:r>
        <w:rPr>
          <w:rFonts w:hint="eastAsia" w:ascii="黑体" w:hAnsi="宋体" w:eastAsia="黑体" w:cs="黑体"/>
          <w:snapToGrid w:val="0"/>
          <w:color w:val="000000"/>
          <w:kern w:val="0"/>
          <w:sz w:val="31"/>
          <w:szCs w:val="31"/>
          <w:lang w:val="en-US" w:eastAsia="zh-CN" w:bidi="ar"/>
        </w:rPr>
        <w:t>附  则</w:t>
      </w:r>
    </w:p>
    <w:p>
      <w:pPr>
        <w:keepNext w:val="0"/>
        <w:keepLines w:val="0"/>
        <w:pageBreakBefore w:val="0"/>
        <w:widowControl/>
        <w:numPr>
          <w:ilvl w:val="0"/>
          <w:numId w:val="0"/>
        </w:numPr>
        <w:suppressLineNumbers w:val="0"/>
        <w:kinsoku w:val="0"/>
        <w:wordWrap/>
        <w:overflowPunct/>
        <w:bidi w:val="0"/>
        <w:adjustRightInd w:val="0"/>
        <w:snapToGrid w:val="0"/>
        <w:spacing w:line="540" w:lineRule="exact"/>
        <w:ind w:leftChars="0"/>
        <w:jc w:val="both"/>
        <w:rPr>
          <w:rFonts w:hint="eastAsia" w:ascii="黑体" w:hAnsi="宋体" w:eastAsia="黑体" w:cs="黑体"/>
          <w:snapToGrid w:val="0"/>
          <w:color w:val="000000"/>
          <w:kern w:val="0"/>
          <w:sz w:val="31"/>
          <w:szCs w:val="31"/>
          <w:lang w:val="en-US" w:eastAsia="zh-CN" w:bidi="ar"/>
        </w:rPr>
      </w:pPr>
    </w:p>
    <w:p>
      <w:pPr>
        <w:keepNext w:val="0"/>
        <w:keepLines w:val="0"/>
        <w:pageBreakBefore w:val="0"/>
        <w:widowControl/>
        <w:suppressLineNumbers w:val="0"/>
        <w:kinsoku w:val="0"/>
        <w:wordWrap/>
        <w:overflowPunct/>
        <w:bidi w:val="0"/>
        <w:adjustRightInd w:val="0"/>
        <w:snapToGrid w:val="0"/>
        <w:spacing w:line="540" w:lineRule="exact"/>
        <w:ind w:firstLine="640" w:firstLineChars="200"/>
        <w:jc w:val="both"/>
        <w:rPr>
          <w:rFonts w:hint="eastAsia" w:ascii="仿宋_GB2312" w:hAnsi="仿宋_GB2312" w:eastAsia="仿宋_GB2312" w:cs="仿宋_GB2312"/>
          <w:snapToGrid w:val="0"/>
          <w:color w:val="000000"/>
          <w:kern w:val="0"/>
          <w:sz w:val="32"/>
          <w:szCs w:val="32"/>
          <w:lang w:val="en-US" w:eastAsia="zh-CN" w:bidi="ar"/>
        </w:rPr>
      </w:pPr>
      <w:r>
        <w:rPr>
          <w:rFonts w:hint="eastAsia" w:ascii="楷体_GB2312" w:hAnsi="楷体_GB2312" w:eastAsia="楷体_GB2312" w:cs="楷体_GB2312"/>
          <w:snapToGrid w:val="0"/>
          <w:color w:val="000000"/>
          <w:kern w:val="0"/>
          <w:sz w:val="32"/>
          <w:szCs w:val="32"/>
          <w:lang w:val="en-US" w:eastAsia="zh-CN" w:bidi="ar"/>
        </w:rPr>
        <w:t>第二十二条</w:t>
      </w:r>
      <w:r>
        <w:rPr>
          <w:rFonts w:hint="eastAsia" w:ascii="仿宋_GB2312" w:hAnsi="仿宋_GB2312" w:eastAsia="仿宋_GB2312" w:cs="仿宋_GB2312"/>
          <w:snapToGrid w:val="0"/>
          <w:color w:val="000000"/>
          <w:kern w:val="0"/>
          <w:sz w:val="32"/>
          <w:szCs w:val="32"/>
          <w:lang w:val="en-US" w:eastAsia="zh-CN" w:bidi="ar"/>
        </w:rPr>
        <w:t xml:space="preserve"> 投诉人进行投诉，应当遵守国家法律、法规及其他有关规定，对借投诉之机故意捏造事实诬告，或者以投诉为名制造事端，干扰市民中心正常工作秩序的，将移交有关部门依法追究责任。 </w:t>
      </w:r>
    </w:p>
    <w:p>
      <w:pPr>
        <w:keepNext w:val="0"/>
        <w:keepLines w:val="0"/>
        <w:pageBreakBefore w:val="0"/>
        <w:widowControl/>
        <w:suppressLineNumbers w:val="0"/>
        <w:kinsoku w:val="0"/>
        <w:wordWrap/>
        <w:overflowPunct/>
        <w:bidi w:val="0"/>
        <w:adjustRightInd w:val="0"/>
        <w:snapToGrid w:val="0"/>
        <w:spacing w:line="540" w:lineRule="exact"/>
        <w:ind w:firstLine="640" w:firstLineChars="200"/>
        <w:jc w:val="both"/>
      </w:pPr>
      <w:r>
        <w:rPr>
          <w:rFonts w:hint="eastAsia" w:ascii="楷体_GB2312" w:hAnsi="楷体_GB2312" w:eastAsia="楷体_GB2312" w:cs="楷体_GB2312"/>
          <w:snapToGrid w:val="0"/>
          <w:color w:val="000000"/>
          <w:kern w:val="0"/>
          <w:sz w:val="32"/>
          <w:szCs w:val="32"/>
          <w:lang w:val="en-US" w:eastAsia="zh-CN" w:bidi="ar"/>
        </w:rPr>
        <w:t>第二十三条</w:t>
      </w:r>
      <w:r>
        <w:rPr>
          <w:rFonts w:hint="eastAsia" w:ascii="仿宋_GB2312" w:hAnsi="仿宋_GB2312" w:eastAsia="仿宋_GB2312" w:cs="仿宋_GB2312"/>
          <w:snapToGrid w:val="0"/>
          <w:color w:val="000000"/>
          <w:kern w:val="0"/>
          <w:sz w:val="32"/>
          <w:szCs w:val="32"/>
          <w:lang w:val="en-US" w:eastAsia="zh-CN" w:bidi="ar"/>
        </w:rPr>
        <w:t xml:space="preserve">  被投诉人及所在单位应协助配合做好调查处置工作，不得有对抗情绪，不得以任何借口推脱责任，不得篡改、隐匿、毁弃相关证据材料，严禁以任何理由打击报复投诉人。</w:t>
      </w:r>
      <w:r>
        <w:rPr>
          <w:rFonts w:hint="eastAsia" w:ascii="仿宋" w:hAnsi="仿宋" w:eastAsia="仿宋" w:cs="仿宋"/>
          <w:snapToGrid w:val="0"/>
          <w:color w:val="000000"/>
          <w:kern w:val="0"/>
          <w:sz w:val="31"/>
          <w:szCs w:val="31"/>
          <w:lang w:val="en-US" w:eastAsia="zh-CN" w:bidi="ar"/>
        </w:rPr>
        <w:t xml:space="preserve"> </w:t>
      </w:r>
    </w:p>
    <w:p>
      <w:pPr>
        <w:keepNext w:val="0"/>
        <w:keepLines w:val="0"/>
        <w:pageBreakBefore w:val="0"/>
        <w:widowControl/>
        <w:suppressLineNumbers w:val="0"/>
        <w:kinsoku w:val="0"/>
        <w:wordWrap/>
        <w:overflowPunct/>
        <w:bidi w:val="0"/>
        <w:adjustRightInd w:val="0"/>
        <w:snapToGrid w:val="0"/>
        <w:spacing w:line="540" w:lineRule="exact"/>
        <w:ind w:firstLine="640" w:firstLineChars="200"/>
        <w:jc w:val="both"/>
        <w:rPr>
          <w:rFonts w:hint="eastAsia" w:ascii="仿宋_GB2312" w:hAnsi="仿宋_GB2312" w:eastAsia="仿宋_GB2312" w:cs="仿宋_GB2312"/>
          <w:snapToGrid w:val="0"/>
          <w:color w:val="000000"/>
          <w:kern w:val="0"/>
          <w:sz w:val="32"/>
          <w:szCs w:val="32"/>
          <w:lang w:val="en-US" w:eastAsia="zh-CN" w:bidi="ar"/>
        </w:rPr>
      </w:pPr>
      <w:r>
        <w:rPr>
          <w:rFonts w:hint="eastAsia" w:ascii="楷体_GB2312" w:hAnsi="楷体_GB2312" w:eastAsia="楷体_GB2312" w:cs="楷体_GB2312"/>
          <w:snapToGrid w:val="0"/>
          <w:color w:val="000000"/>
          <w:kern w:val="0"/>
          <w:sz w:val="32"/>
          <w:szCs w:val="32"/>
          <w:lang w:val="en-US" w:eastAsia="zh-CN" w:bidi="ar"/>
        </w:rPr>
        <w:t>第二十四条</w:t>
      </w:r>
      <w:r>
        <w:rPr>
          <w:rFonts w:hint="eastAsia" w:ascii="仿宋_GB2312" w:hAnsi="仿宋_GB2312" w:eastAsia="仿宋_GB2312" w:cs="仿宋_GB2312"/>
          <w:snapToGrid w:val="0"/>
          <w:color w:val="000000"/>
          <w:kern w:val="0"/>
          <w:sz w:val="32"/>
          <w:szCs w:val="32"/>
          <w:lang w:val="en-US" w:eastAsia="zh-CN" w:bidi="ar"/>
        </w:rPr>
        <w:t xml:space="preserve">  市民中心各进驻单位应根据本办法制定相应投诉处置实施细则。</w:t>
      </w:r>
    </w:p>
    <w:p>
      <w:pPr>
        <w:keepNext w:val="0"/>
        <w:keepLines w:val="0"/>
        <w:pageBreakBefore w:val="0"/>
        <w:widowControl/>
        <w:suppressLineNumbers w:val="0"/>
        <w:kinsoku w:val="0"/>
        <w:wordWrap/>
        <w:overflowPunct/>
        <w:bidi w:val="0"/>
        <w:adjustRightInd w:val="0"/>
        <w:snapToGrid w:val="0"/>
        <w:spacing w:line="540" w:lineRule="exact"/>
        <w:ind w:firstLine="640" w:firstLineChars="200"/>
        <w:jc w:val="both"/>
        <w:rPr>
          <w:rFonts w:hint="eastAsia" w:ascii="仿宋_GB2312" w:hAnsi="仿宋_GB2312" w:eastAsia="仿宋_GB2312" w:cs="仿宋_GB2312"/>
          <w:snapToGrid w:val="0"/>
          <w:color w:val="000000"/>
          <w:kern w:val="0"/>
          <w:sz w:val="32"/>
          <w:szCs w:val="32"/>
          <w:lang w:val="en-US" w:eastAsia="zh-CN" w:bidi="ar"/>
        </w:rPr>
      </w:pPr>
      <w:r>
        <w:rPr>
          <w:rFonts w:hint="eastAsia" w:ascii="楷体_GB2312" w:hAnsi="楷体_GB2312" w:eastAsia="楷体_GB2312" w:cs="楷体_GB2312"/>
          <w:snapToGrid w:val="0"/>
          <w:color w:val="000000"/>
          <w:kern w:val="0"/>
          <w:sz w:val="32"/>
          <w:szCs w:val="32"/>
          <w:lang w:val="en-US" w:eastAsia="zh-CN" w:bidi="ar"/>
        </w:rPr>
        <w:t>第二十五条</w:t>
      </w:r>
      <w:r>
        <w:rPr>
          <w:rFonts w:hint="eastAsia" w:ascii="仿宋_GB2312" w:hAnsi="仿宋_GB2312" w:eastAsia="仿宋_GB2312" w:cs="仿宋_GB2312"/>
          <w:snapToGrid w:val="0"/>
          <w:color w:val="000000"/>
          <w:kern w:val="0"/>
          <w:sz w:val="32"/>
          <w:szCs w:val="32"/>
          <w:lang w:val="en-US" w:eastAsia="zh-CN" w:bidi="ar"/>
        </w:rPr>
        <w:t xml:space="preserve">  此办法自印发之日起施行。</w:t>
      </w: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ind w:firstLine="640" w:firstLineChars="20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jc w:val="center"/>
        <w:rPr>
          <w:rFonts w:hint="eastAsia" w:ascii="仿宋_GB2312" w:hAnsi="仿宋_GB2312" w:eastAsia="仿宋_GB2312" w:cs="仿宋_GB2312"/>
          <w:snapToGrid w:val="0"/>
          <w:color w:val="000000"/>
          <w:kern w:val="0"/>
          <w:sz w:val="32"/>
          <w:szCs w:val="32"/>
          <w:lang w:val="en-US" w:eastAsia="zh-CN" w:bidi="ar"/>
        </w:rPr>
      </w:pPr>
      <w:r>
        <w:rPr>
          <w:rFonts w:hint="eastAsia" w:ascii="仿宋_GB2312" w:hAnsi="仿宋_GB2312" w:eastAsia="仿宋_GB2312" w:cs="仿宋_GB2312"/>
          <w:snapToGrid w:val="0"/>
          <w:color w:val="000000"/>
          <w:kern w:val="0"/>
          <w:sz w:val="32"/>
          <w:szCs w:val="32"/>
          <w:lang w:val="en-US" w:eastAsia="zh-CN" w:bidi="ar"/>
        </w:rPr>
        <w:drawing>
          <wp:inline distT="0" distB="0" distL="114300" distR="114300">
            <wp:extent cx="5692775" cy="7116445"/>
            <wp:effectExtent l="0" t="0" r="6985" b="635"/>
            <wp:docPr id="1" name="图片 1"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捕获"/>
                    <pic:cNvPicPr>
                      <a:picLocks noChangeAspect="1"/>
                    </pic:cNvPicPr>
                  </pic:nvPicPr>
                  <pic:blipFill>
                    <a:blip r:embed="rId7"/>
                    <a:srcRect l="2127" r="6964"/>
                    <a:stretch>
                      <a:fillRect/>
                    </a:stretch>
                  </pic:blipFill>
                  <pic:spPr>
                    <a:xfrm>
                      <a:off x="0" y="0"/>
                      <a:ext cx="5692775" cy="7116445"/>
                    </a:xfrm>
                    <a:prstGeom prst="rect">
                      <a:avLst/>
                    </a:prstGeom>
                  </pic:spPr>
                </pic:pic>
              </a:graphicData>
            </a:graphic>
          </wp:inline>
        </w:drawing>
      </w:r>
    </w:p>
    <w:p>
      <w:pPr>
        <w:keepNext w:val="0"/>
        <w:keepLines w:val="0"/>
        <w:widowControl/>
        <w:suppressLineNumbers w:val="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jc w:val="both"/>
        <w:rPr>
          <w:rFonts w:hint="eastAsia" w:ascii="仿宋_GB2312" w:hAnsi="仿宋_GB2312" w:eastAsia="仿宋_GB2312" w:cs="仿宋_GB2312"/>
          <w:snapToGrid w:val="0"/>
          <w:color w:val="000000"/>
          <w:kern w:val="0"/>
          <w:sz w:val="32"/>
          <w:szCs w:val="32"/>
          <w:lang w:val="en-US" w:eastAsia="zh-CN" w:bidi="ar"/>
        </w:rPr>
      </w:pPr>
    </w:p>
    <w:p>
      <w:pPr>
        <w:keepNext w:val="0"/>
        <w:keepLines w:val="0"/>
        <w:widowControl/>
        <w:suppressLineNumbers w:val="0"/>
        <w:jc w:val="both"/>
        <w:rPr>
          <w:rFonts w:hint="eastAsia" w:ascii="仿宋_GB2312" w:hAnsi="仿宋_GB2312" w:eastAsia="仿宋_GB2312" w:cs="仿宋_GB2312"/>
          <w:snapToGrid w:val="0"/>
          <w:color w:val="000000"/>
          <w:kern w:val="0"/>
          <w:sz w:val="32"/>
          <w:szCs w:val="32"/>
          <w:lang w:val="en-US" w:eastAsia="zh-CN" w:bidi="ar"/>
        </w:rPr>
      </w:pPr>
      <w:r>
        <w:rPr>
          <w:rFonts w:hint="eastAsia" w:ascii="仿宋_GB2312" w:hAnsi="仿宋_GB2312" w:eastAsia="仿宋_GB2312" w:cs="仿宋_GB2312"/>
          <w:snapToGrid w:val="0"/>
          <w:color w:val="000000"/>
          <w:kern w:val="0"/>
          <w:sz w:val="32"/>
          <w:szCs w:val="32"/>
          <w:lang w:val="en-US" w:eastAsia="zh-CN" w:bidi="ar"/>
        </w:rPr>
        <w:drawing>
          <wp:inline distT="0" distB="0" distL="114300" distR="114300">
            <wp:extent cx="5168900" cy="7778115"/>
            <wp:effectExtent l="0" t="0" r="12700" b="9525"/>
            <wp:docPr id="2" name="图片 2" descr="捕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捕1"/>
                    <pic:cNvPicPr>
                      <a:picLocks noChangeAspect="1"/>
                    </pic:cNvPicPr>
                  </pic:nvPicPr>
                  <pic:blipFill>
                    <a:blip r:embed="rId8"/>
                    <a:srcRect l="7801" r="13734"/>
                    <a:stretch>
                      <a:fillRect/>
                    </a:stretch>
                  </pic:blipFill>
                  <pic:spPr>
                    <a:xfrm>
                      <a:off x="0" y="0"/>
                      <a:ext cx="5168900" cy="7778115"/>
                    </a:xfrm>
                    <a:prstGeom prst="rect">
                      <a:avLst/>
                    </a:prstGeom>
                  </pic:spPr>
                </pic:pic>
              </a:graphicData>
            </a:graphic>
          </wp:inline>
        </w:drawing>
      </w:r>
    </w:p>
    <w:p/>
    <w:p/>
    <w:p>
      <w:pPr>
        <w:rPr>
          <w:rFonts w:hint="eastAsia" w:eastAsia="宋体"/>
          <w:lang w:eastAsia="zh-CN"/>
        </w:rPr>
      </w:pPr>
      <w:r>
        <w:rPr>
          <w:rFonts w:hint="eastAsia" w:eastAsia="宋体"/>
          <w:lang w:eastAsia="zh-CN"/>
        </w:rPr>
        <w:drawing>
          <wp:inline distT="0" distB="0" distL="114300" distR="114300">
            <wp:extent cx="5593080" cy="7662545"/>
            <wp:effectExtent l="0" t="0" r="0" b="3175"/>
            <wp:docPr id="3" name="图片 3" descr="捕获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捕获2"/>
                    <pic:cNvPicPr>
                      <a:picLocks noChangeAspect="1"/>
                    </pic:cNvPicPr>
                  </pic:nvPicPr>
                  <pic:blipFill>
                    <a:blip r:embed="rId9"/>
                    <a:srcRect l="5512" r="9913"/>
                    <a:stretch>
                      <a:fillRect/>
                    </a:stretch>
                  </pic:blipFill>
                  <pic:spPr>
                    <a:xfrm>
                      <a:off x="0" y="0"/>
                      <a:ext cx="5593080" cy="7662545"/>
                    </a:xfrm>
                    <a:prstGeom prst="rect">
                      <a:avLst/>
                    </a:prstGeom>
                  </pic:spPr>
                </pic:pic>
              </a:graphicData>
            </a:graphic>
          </wp:inline>
        </w:drawing>
      </w: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p>
    <w:p>
      <w:pPr>
        <w:rPr>
          <w:rFonts w:hint="eastAsia" w:eastAsia="宋体"/>
          <w:lang w:eastAsia="zh-CN"/>
        </w:rPr>
      </w:pPr>
      <w:r>
        <w:rPr>
          <w:rFonts w:hint="eastAsia" w:eastAsia="宋体"/>
          <w:lang w:eastAsia="zh-CN"/>
        </w:rPr>
        <w:drawing>
          <wp:inline distT="0" distB="0" distL="114300" distR="114300">
            <wp:extent cx="5473700" cy="7722235"/>
            <wp:effectExtent l="0" t="0" r="12700" b="4445"/>
            <wp:docPr id="5" name="图片 5" descr="捕获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捕获3"/>
                    <pic:cNvPicPr>
                      <a:picLocks noChangeAspect="1"/>
                    </pic:cNvPicPr>
                  </pic:nvPicPr>
                  <pic:blipFill>
                    <a:blip r:embed="rId10"/>
                    <a:srcRect l="6203" r="11133"/>
                    <a:stretch>
                      <a:fillRect/>
                    </a:stretch>
                  </pic:blipFill>
                  <pic:spPr>
                    <a:xfrm>
                      <a:off x="0" y="0"/>
                      <a:ext cx="5473700" cy="7722235"/>
                    </a:xfrm>
                    <a:prstGeom prst="rect">
                      <a:avLst/>
                    </a:prstGeom>
                  </pic:spPr>
                </pic:pic>
              </a:graphicData>
            </a:graphic>
          </wp:inline>
        </w:drawing>
      </w:r>
    </w:p>
    <w:p>
      <w:pPr>
        <w:rPr>
          <w:rFonts w:hint="eastAsia" w:eastAsia="宋体"/>
          <w:lang w:eastAsia="zh-CN"/>
        </w:rPr>
      </w:pPr>
      <w:bookmarkStart w:id="0" w:name="_GoBack"/>
      <w:r>
        <w:rPr>
          <w:rFonts w:hint="eastAsia" w:eastAsia="宋体"/>
          <w:lang w:eastAsia="zh-CN"/>
        </w:rPr>
        <w:drawing>
          <wp:inline distT="0" distB="0" distL="114300" distR="114300">
            <wp:extent cx="5778500" cy="8188325"/>
            <wp:effectExtent l="0" t="0" r="12700" b="10795"/>
            <wp:docPr id="4" name="图片 4" descr="捕获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捕获4"/>
                    <pic:cNvPicPr>
                      <a:picLocks noChangeAspect="1"/>
                    </pic:cNvPicPr>
                  </pic:nvPicPr>
                  <pic:blipFill>
                    <a:blip r:embed="rId11"/>
                    <a:srcRect l="7802" r="9590"/>
                    <a:stretch>
                      <a:fillRect/>
                    </a:stretch>
                  </pic:blipFill>
                  <pic:spPr>
                    <a:xfrm>
                      <a:off x="0" y="0"/>
                      <a:ext cx="5778500" cy="8188325"/>
                    </a:xfrm>
                    <a:prstGeom prst="rect">
                      <a:avLst/>
                    </a:prstGeom>
                  </pic:spPr>
                </pic:pic>
              </a:graphicData>
            </a:graphic>
          </wp:inline>
        </w:drawing>
      </w:r>
      <w:bookmarkEnd w:id="0"/>
    </w:p>
    <w:sectPr>
      <w:footerReference r:id="rId5" w:type="default"/>
      <w:pgSz w:w="11906" w:h="16839"/>
      <w:pgMar w:top="1701" w:right="1587" w:bottom="1701" w:left="1587" w:header="0" w:footer="13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12"/>
      <w:rPr>
        <w:rFonts w:ascii="宋体" w:hAnsi="宋体" w:eastAsia="宋体" w:cs="宋体"/>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60A97E"/>
    <w:multiLevelType w:val="singleLevel"/>
    <w:tmpl w:val="3160A97E"/>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xNGFiOWE1ODkzMzJhMTMxNDFlZmVkZTBjOTYzMDQifQ=="/>
  </w:docVars>
  <w:rsids>
    <w:rsidRoot w:val="00000000"/>
    <w:rsid w:val="0DD73D41"/>
    <w:rsid w:val="7F9041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32</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2020-02-20T16:00:00Z</dcterms:created>
  <dc:creator>董业胜</dc:creator>
  <cp:lastModifiedBy>Malu</cp:lastModifiedBy>
  <dcterms:modified xsi:type="dcterms:W3CDTF">2023-11-22T13:30:47Z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2023-11-17T11:20:12Z</vt:filetime>
  </property>
  <property fmtid="{D5CDD505-2E9C-101B-9397-08002B2CF9AE}" pid="4" name="KSOProductBuildVer">
    <vt:lpwstr>2052-12.1.0.15712</vt:lpwstr>
  </property>
  <property fmtid="{D5CDD505-2E9C-101B-9397-08002B2CF9AE}" pid="5" name="ICV">
    <vt:lpwstr>F419A9225F56494ABADEE8630C52C70E_12</vt:lpwstr>
  </property>
</Properties>
</file>