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17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0"/>
        <w:gridCol w:w="47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416"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发文机关：山东省人民政府</w:t>
            </w:r>
          </w:p>
        </w:tc>
        <w:tc>
          <w:tcPr>
            <w:tcW w:w="2583"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成文日期：2023-05-21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416"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发文字号：鲁政发〔2023〕5号</w:t>
            </w:r>
          </w:p>
        </w:tc>
        <w:tc>
          <w:tcPr>
            <w:tcW w:w="2583"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发布日期：2023-05-26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00" w:type="pct"/>
            <w:gridSpan w:val="2"/>
            <w:tcBorders>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jc w:val="center"/>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题：山东省人民政府关于印发山东省深化营商环境创新提升行动实施方案的通知</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Style w:val="7"/>
          <w:rFonts w:hint="eastAsia" w:ascii="微软雅黑" w:hAnsi="微软雅黑" w:eastAsia="微软雅黑" w:cs="微软雅黑"/>
          <w:b/>
          <w:bCs/>
          <w:i w:val="0"/>
          <w:iCs w:val="0"/>
          <w:caps w:val="0"/>
          <w:color w:val="333333"/>
          <w:spacing w:val="0"/>
          <w:sz w:val="36"/>
          <w:szCs w:val="36"/>
          <w:u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关于印发山东省深化营商环境创新提升</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行动实施方案的通知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鲁政发〔2023〕5号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各市人民政府，各县(市、区)人民政府，省政府各部门、各直属机构，各大企业，各高等院校: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现将《山东省深化营商环境创新提升行动实施方案》印发给你们，请认真贯彻执行。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2023年5月21日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山东省深化营商环境创新提升行动实施方案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为深入学习贯彻党的二十大精神，全面落实省委、省政府工作部署，深化营商环境创新提升行动，持续打造一流营商环境，制定本方案。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一、工作目标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聚焦市场主体需求和人民群众关切，树立“服务企业贵在无事不扰、支持企业就要有求必应”的理念，持续深入开展营商环境创新提升行动，通过破除制约市场主体发展的制度性障碍，强化政策精准供给，推动重点领域攻坚突破，开展营商环境突出问题专项整治，持续增强企业和群众的获得感、满意度，全面建设更具吸引力、竞争力的市场化法治化国际化一流营商环境，为全省经济社会高质量发展提供有力支撑保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二、工作原则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（一）坚持对标一流。</w:t>
      </w:r>
      <w:r>
        <w:rPr>
          <w:rFonts w:hint="eastAsia" w:ascii="仿宋_GB2312" w:hAnsi="仿宋_GB2312" w:eastAsia="仿宋_GB2312" w:cs="仿宋_GB2312"/>
          <w:sz w:val="32"/>
          <w:szCs w:val="32"/>
        </w:rPr>
        <w:t>自觉对标世界银行最新评估指标体系、对标先进典型经验，坚持“拿来主义”与“自主创新”相结合，力求做到“人无我有、人有我优、人能我行”，全力深化改革创新。</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（二）坚持系统集成。</w:t>
      </w:r>
      <w:r>
        <w:rPr>
          <w:rFonts w:hint="eastAsia" w:ascii="仿宋_GB2312" w:hAnsi="仿宋_GB2312" w:eastAsia="仿宋_GB2312" w:cs="仿宋_GB2312"/>
          <w:sz w:val="32"/>
          <w:szCs w:val="32"/>
        </w:rPr>
        <w:t>围绕企业从开办到注销的全生命周期，进一步加强全要素保障能力，提升全过程服务和监管效能，构建全方位法治保障支撑，推动全闭环解决企业诉求。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（三）坚持问题导向。</w:t>
      </w:r>
      <w:r>
        <w:rPr>
          <w:rFonts w:hint="eastAsia" w:ascii="仿宋_GB2312" w:hAnsi="仿宋_GB2312" w:eastAsia="仿宋_GB2312" w:cs="仿宋_GB2312"/>
          <w:sz w:val="32"/>
          <w:szCs w:val="32"/>
        </w:rPr>
        <w:t>针对市场主体反映的突出问题、调研评估发现的共性问题，有针对性地出台改革举措，加强跟踪督导指导，全面提升改革创新质效。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（四）坚持数据赋能。</w:t>
      </w:r>
      <w:r>
        <w:rPr>
          <w:rFonts w:hint="eastAsia" w:ascii="仿宋_GB2312" w:hAnsi="仿宋_GB2312" w:eastAsia="仿宋_GB2312" w:cs="仿宋_GB2312"/>
          <w:sz w:val="32"/>
          <w:szCs w:val="32"/>
        </w:rPr>
        <w:t>注重用数字化手段推动营商环境各领域改革创新，加强数据汇聚融合、共享开放和开发利用，持续提高企业和群众办事便利度。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三、重点任务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（一）创新提升全周期服务水平。</w:t>
      </w:r>
      <w:r>
        <w:rPr>
          <w:rFonts w:hint="eastAsia" w:ascii="仿宋_GB2312" w:hAnsi="仿宋_GB2312" w:eastAsia="仿宋_GB2312" w:cs="仿宋_GB2312"/>
          <w:sz w:val="32"/>
          <w:szCs w:val="32"/>
        </w:rPr>
        <w:t>围绕企业准入退出、工程建设项目审批、登记财产、获得电力、纳税服务、跨境贸易、办理破产等领域攻坚，重点在便利市场主体登记、拓展“一照多址”、健全歇业制度、推行“验登合一”、优化联合竣工验收、深化建筑师负责制试点、推广不动产“带押过户”、加强破产企业信用修复等方面，实现更大创新提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（二）创新提升全要素供给能力</w:t>
      </w:r>
      <w:r>
        <w:rPr>
          <w:rFonts w:hint="eastAsia" w:ascii="仿宋_GB2312" w:hAnsi="仿宋_GB2312" w:eastAsia="仿宋_GB2312" w:cs="仿宋_GB2312"/>
          <w:sz w:val="32"/>
          <w:szCs w:val="32"/>
        </w:rPr>
        <w:t>。围绕金融服务、用地保障、劳动就业、人才流通、科技创新等领域攻坚，重点在拓宽融资渠道、降低中小微企业综合融资成本、拓展“用地清单制”改革范围、推进城镇土地使用税差别化改革、开展就业“直补快办”行动、探索境外职业资格认可、发布人才政策清单、扩大科技成果转化综合试点范围、增强创新券使用效益等方面，实现更大创新提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（三）创新提升全过程监管服务效能</w:t>
      </w:r>
      <w:r>
        <w:rPr>
          <w:rFonts w:hint="eastAsia" w:ascii="仿宋_GB2312" w:hAnsi="仿宋_GB2312" w:eastAsia="仿宋_GB2312" w:cs="仿宋_GB2312"/>
          <w:sz w:val="32"/>
          <w:szCs w:val="32"/>
        </w:rPr>
        <w:t>。围绕知识产权保护运用、监管执法、政府采购、招标投标、政务服务等领域攻坚，重点在加强涉外知识产权保护、开展数据知识产权登记试点、推进“综合监管一件事”、加强政府采购和招标投标数字化监管、推广远程异地评审、推动惠企政策“免申即享”“快速兑现”、深化“无证明之省”建设、打造现代“政务综合体”、推广“企业码”服务体系等方面，实现更大创新提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（四）创新提升全方位法治保障支撑。</w:t>
      </w:r>
      <w:r>
        <w:rPr>
          <w:rFonts w:hint="eastAsia" w:ascii="仿宋_GB2312" w:hAnsi="仿宋_GB2312" w:eastAsia="仿宋_GB2312" w:cs="仿宋_GB2312"/>
          <w:sz w:val="32"/>
          <w:szCs w:val="32"/>
        </w:rPr>
        <w:t>围绕解决商业纠纷、市场竞争、保护中小投资者、法治保障等领域攻坚，重点在加强政务诚信建设、开展隐性壁垒清理整治、扩大在线调解范围、推动开展拖欠民营企业中小企业债务案件专项执行、保障农民工工资支付、加强公平竞争审查、依法保护企业产权和企业家权益等方面，实现更大创新提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（五）创新提升全闭环解决企业诉求机制。</w:t>
      </w:r>
      <w:r>
        <w:rPr>
          <w:rFonts w:hint="eastAsia" w:ascii="仿宋_GB2312" w:hAnsi="仿宋_GB2312" w:eastAsia="仿宋_GB2312" w:cs="仿宋_GB2312"/>
          <w:sz w:val="32"/>
          <w:szCs w:val="32"/>
        </w:rPr>
        <w:t>围绕企业发展中遇到的堵点难点问题，全面提升诉求办理质效，重点在优化企业诉求“接诉即办”机制、升级12345热线平台功能、全面提升响应速度、健全完善“统一受理、依责办理、限期办结、审核督办、科学考核”全流程闭环运行模式、加强对企业诉求解决情况的跟踪督导和定期评价等方面，实现更大创新提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（六）创新开展护航优化营商环境专项行动。</w:t>
      </w:r>
      <w:r>
        <w:rPr>
          <w:rFonts w:hint="eastAsia" w:ascii="仿宋_GB2312" w:hAnsi="仿宋_GB2312" w:eastAsia="仿宋_GB2312" w:cs="仿宋_GB2312"/>
          <w:sz w:val="32"/>
          <w:szCs w:val="32"/>
        </w:rPr>
        <w:t>协同省纪委监委开展“护航优化营商环境专项行动”，建立季度会商、联合督查、线索移送等工作机制，选取不同层级企业作为营商环境监督监测点，组织营商环境专项察访，定期发布损害营商环境突出问题。把握监督导向，惩治不担当不作为，保护敢担当善作为，营造干事创业、担当作为良好氛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四、保障措施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（一）持续加大统筹协调力度。</w:t>
      </w:r>
      <w:r>
        <w:rPr>
          <w:rFonts w:hint="eastAsia" w:ascii="仿宋_GB2312" w:hAnsi="仿宋_GB2312" w:eastAsia="仿宋_GB2312" w:cs="仿宋_GB2312"/>
          <w:sz w:val="32"/>
          <w:szCs w:val="32"/>
        </w:rPr>
        <w:t>健全完善省政府分管领导各领域“总指挥”协调推进机制，强化改革任务督导落实。省营转办要发挥综合协调作用，及时协调解决重点难点问题；各领域牵头部门、责任部门要切实履行职责，健全工作机制，统筹推进本领域改革任务落实。各市、各部门要结合实际制定具</w:t>
      </w:r>
      <w:bookmarkStart w:id="0" w:name="_GoBack"/>
      <w:bookmarkEnd w:id="0"/>
      <w:r>
        <w:rPr>
          <w:rFonts w:hint="eastAsia" w:ascii="仿宋_GB2312" w:hAnsi="仿宋_GB2312" w:eastAsia="仿宋_GB2312" w:cs="仿宋_GB2312"/>
          <w:sz w:val="32"/>
          <w:szCs w:val="32"/>
        </w:rPr>
        <w:t>体落实方案，并报省营转办备案。建立改革任务动态调整机制，持续对标对表，动态调整创新提升行动改革举措，不断提升改革综合效应。</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（二）持续发挥示范带动作用</w:t>
      </w:r>
      <w:r>
        <w:rPr>
          <w:rFonts w:hint="eastAsia" w:ascii="仿宋_GB2312" w:hAnsi="仿宋_GB2312" w:eastAsia="仿宋_GB2312" w:cs="仿宋_GB2312"/>
          <w:sz w:val="32"/>
          <w:szCs w:val="32"/>
        </w:rPr>
        <w:t>。深入开展营商环境创新“揭榜挂帅”活动，力争用2-3年时间打造一批具有山东特色的营商环境创新示范区。鼓励有条件的市瞄准最高标准、最高水平开展先行先试，支持济南、青岛、烟台等争创国家营商环境创新试点城市。加强典型经验推介推广力度，定期发布营商环境典型案例，常态化组织优化营商环境主题宣传活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（三）持续强化跟踪督导问效。</w:t>
      </w:r>
      <w:r>
        <w:rPr>
          <w:rFonts w:hint="eastAsia" w:ascii="仿宋_GB2312" w:hAnsi="仿宋_GB2312" w:eastAsia="仿宋_GB2312" w:cs="仿宋_GB2312"/>
          <w:sz w:val="32"/>
          <w:szCs w:val="32"/>
        </w:rPr>
        <w:t>健全完善台账式管理、工程化验收、走流程体验等工作机制，深入开展营商环境大走访大调研活动。探索建立重大营商环境问题直督直办机制，适时开展优化营商环境专项督查。健全完善营商环境考核指标体系，推行“无感监测”模式，每年至少组织2次市场主体满意度调查，推动营商环境考核创新。</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（四）持续构建亲清统一新型政商关系。</w:t>
      </w:r>
      <w:r>
        <w:rPr>
          <w:rFonts w:hint="eastAsia" w:ascii="仿宋_GB2312" w:hAnsi="仿宋_GB2312" w:eastAsia="仿宋_GB2312" w:cs="仿宋_GB2312"/>
          <w:sz w:val="32"/>
          <w:szCs w:val="32"/>
        </w:rPr>
        <w:t>完善政商交往正面、负面清单，建立领导干部常态化联系服务经济组织制度，探索开展“政商早餐会”“亲清会客厅”等活动。完善涉企政策制定、宣传和评估机制，各级制定经济发展政策、规划等，要充分征求、吸收各类企业意见。加强正向激励宣传引导，推出一批敢闯敢干、改革创新的企业家先进典型，在全社会营造“亲商、富商、安商”的良好氛围。</w:t>
      </w:r>
    </w:p>
    <w:p/>
    <w:sectPr>
      <w:footerReference r:id="rId3" w:type="default"/>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r>
                            <w:rPr>
                              <w:rFonts w:hint="eastAsia" w:ascii="宋体" w:hAnsi="宋体" w:eastAsia="宋体" w:cs="宋体"/>
                              <w:sz w:val="28"/>
                              <w:szCs w:val="4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r>
                      <w:rPr>
                        <w:rFonts w:hint="eastAsia" w:ascii="宋体" w:hAnsi="宋体" w:eastAsia="宋体" w:cs="宋体"/>
                        <w:sz w:val="28"/>
                        <w:szCs w:val="4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3YWFlNmFlZjQyYzFmNTJmMDk3MmU3ZTUyMDU0ZWUifQ=="/>
  </w:docVars>
  <w:rsids>
    <w:rsidRoot w:val="00000000"/>
    <w:rsid w:val="37BD7A69"/>
    <w:rsid w:val="421107CE"/>
    <w:rsid w:val="61117D01"/>
    <w:rsid w:val="737A37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Malu</cp:lastModifiedBy>
  <dcterms:modified xsi:type="dcterms:W3CDTF">2023-11-27T02:00:19Z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92EE20A3333840C49AB3953CA686697D_12</vt:lpwstr>
  </property>
</Properties>
</file>