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360" w:rsidRPr="00752360" w:rsidRDefault="00752360" w:rsidP="00752360">
      <w:pPr>
        <w:widowControl/>
        <w:spacing w:before="161" w:after="161"/>
        <w:jc w:val="left"/>
        <w:outlineLvl w:val="0"/>
        <w:rPr>
          <w:rFonts w:ascii="inherit" w:eastAsia="微软雅黑" w:hAnsi="inherit" w:cs="Helvetica" w:hint="eastAsia"/>
          <w:color w:val="333333"/>
          <w:kern w:val="36"/>
          <w:sz w:val="42"/>
          <w:szCs w:val="42"/>
          <w:lang/>
        </w:rPr>
      </w:pPr>
      <w:r w:rsidRPr="00752360">
        <w:rPr>
          <w:rFonts w:ascii="inherit" w:eastAsia="微软雅黑" w:hAnsi="inherit" w:cs="Helvetica"/>
          <w:color w:val="333333"/>
          <w:kern w:val="36"/>
          <w:sz w:val="42"/>
          <w:szCs w:val="42"/>
          <w:lang/>
        </w:rPr>
        <w:t>《道路旅客运输及客运站管理规定》修订解读</w:t>
      </w:r>
    </w:p>
    <w:p w:rsidR="00752360" w:rsidRPr="00752360" w:rsidRDefault="00752360" w:rsidP="00752360">
      <w:pPr>
        <w:widowControl/>
        <w:spacing w:after="150"/>
        <w:ind w:firstLine="480"/>
        <w:jc w:val="left"/>
        <w:rPr>
          <w:rFonts w:ascii="微软雅黑" w:eastAsia="微软雅黑" w:hAnsi="微软雅黑" w:cs="Helvetica"/>
          <w:color w:val="333333"/>
          <w:kern w:val="0"/>
          <w:szCs w:val="21"/>
          <w:lang/>
        </w:rPr>
      </w:pPr>
      <w:r w:rsidRPr="00752360">
        <w:rPr>
          <w:rFonts w:ascii="微软雅黑" w:eastAsia="微软雅黑" w:hAnsi="微软雅黑" w:cs="Helvetica" w:hint="eastAsia"/>
          <w:color w:val="333333"/>
          <w:kern w:val="0"/>
          <w:szCs w:val="21"/>
          <w:lang/>
        </w:rPr>
        <w:t>为进一步深化道路客运供给侧结构性改革，发挥市场在资源配置中的决定性作用，激发道路客运市场活力，更好满足人民群众安全、便捷、高效的出行需求，交通运输部修订发布了《道路旅客运输及客运站管理规定》（交通运输部令2020年第17号，以下简称《客规》），自2020年9月1日起施行。为便于地方交通运输主管部门和道路客运相关经营者更好地理解《客规》内容，切实做好贯彻实施工作，现就《客规》出台背景及主要修订内容等解读如下。</w:t>
      </w:r>
      <w:r w:rsidRPr="00752360">
        <w:rPr>
          <w:rFonts w:ascii="微软雅黑" w:eastAsia="微软雅黑" w:hAnsi="微软雅黑" w:cs="Helvetica" w:hint="eastAsia"/>
          <w:color w:val="333333"/>
          <w:kern w:val="0"/>
          <w:szCs w:val="21"/>
          <w:lang/>
        </w:rPr>
        <w:br/>
        <w:t xml:space="preserve">　　一、工作背景</w:t>
      </w:r>
      <w:r w:rsidRPr="00752360">
        <w:rPr>
          <w:rFonts w:ascii="微软雅黑" w:eastAsia="微软雅黑" w:hAnsi="微软雅黑" w:cs="Helvetica" w:hint="eastAsia"/>
          <w:color w:val="333333"/>
          <w:kern w:val="0"/>
          <w:szCs w:val="21"/>
          <w:lang/>
        </w:rPr>
        <w:br/>
        <w:t xml:space="preserve">　　道路客运是综合运输体系中运输量最大、通达度最深、服务面最广的运输方式。部于2005年制定出台《客规》，并结合运输管理费收取政策调整、完善包车客运管理、“先照后证”改革、落实长途客运实名制管理等工作需要，对部分条款先后作出6次修正，对规范道路客运及客运站经营活动，维护客运市场秩序，保障客运安全，保护旅客和经营者合法权益发挥了重要作用。</w:t>
      </w:r>
      <w:r w:rsidRPr="00752360">
        <w:rPr>
          <w:rFonts w:ascii="微软雅黑" w:eastAsia="微软雅黑" w:hAnsi="微软雅黑" w:cs="Helvetica" w:hint="eastAsia"/>
          <w:color w:val="333333"/>
          <w:kern w:val="0"/>
          <w:szCs w:val="21"/>
          <w:lang/>
        </w:rPr>
        <w:br/>
        <w:t xml:space="preserve">　　近年来，受私家车保有量持续高位增长、综合运输体系日趋健全特别是高铁成网运行、互联网＋运输服务深度融合等因素影响，客运市场环境发生深刻变化，人民群众高品质、个性化、多元化的出行需求逐步释放，客运结构持续调整、竞争日趋激烈，亟需深化道路客运“放管服”改革，持续优化道路客运营商环境，提升经营者的经营自主权，更好发挥道路客运机动性强、便捷度高的比较优势，切实保障客运市场健康发展和人民群众出行需求。特别是2020年，突如其来的新冠肺炎疫情对道路客运行业产生重大影响，经营者普遍出现经营困难，亟需在守住安全稳定底线的基础上，强化政策扶持，促进行业复工复产达产，更好服务“六稳”“六保”工作。为此，迫切需要对《客规》相关内容进行修订。</w:t>
      </w:r>
      <w:r w:rsidRPr="00752360">
        <w:rPr>
          <w:rFonts w:ascii="微软雅黑" w:eastAsia="微软雅黑" w:hAnsi="微软雅黑" w:cs="Helvetica" w:hint="eastAsia"/>
          <w:color w:val="333333"/>
          <w:kern w:val="0"/>
          <w:szCs w:val="21"/>
          <w:lang/>
        </w:rPr>
        <w:br/>
      </w:r>
      <w:r w:rsidRPr="00752360">
        <w:rPr>
          <w:rFonts w:ascii="微软雅黑" w:eastAsia="微软雅黑" w:hAnsi="微软雅黑" w:cs="Helvetica" w:hint="eastAsia"/>
          <w:color w:val="333333"/>
          <w:kern w:val="0"/>
          <w:szCs w:val="21"/>
          <w:lang/>
        </w:rPr>
        <w:lastRenderedPageBreak/>
        <w:t xml:space="preserve">　　二、主要修订内容</w:t>
      </w:r>
      <w:r w:rsidRPr="00752360">
        <w:rPr>
          <w:rFonts w:ascii="微软雅黑" w:eastAsia="微软雅黑" w:hAnsi="微软雅黑" w:cs="Helvetica" w:hint="eastAsia"/>
          <w:color w:val="333333"/>
          <w:kern w:val="0"/>
          <w:szCs w:val="21"/>
          <w:lang/>
        </w:rPr>
        <w:br/>
        <w:t>《客规》修订后，包括总则、经营许可、客运经营管理、班车客运定制服务（新增）、客运站经营、监督检查、法律责任和附则等8个部分。主要修订内容如下：</w:t>
      </w:r>
      <w:r w:rsidRPr="00752360">
        <w:rPr>
          <w:rFonts w:ascii="微软雅黑" w:eastAsia="微软雅黑" w:hAnsi="微软雅黑" w:cs="Helvetica" w:hint="eastAsia"/>
          <w:color w:val="333333"/>
          <w:kern w:val="0"/>
          <w:szCs w:val="21"/>
          <w:lang/>
        </w:rPr>
        <w:br/>
        <w:t>（一）落实《国务院关于取消和下放一批行政许可事项的决定》（国发〔2019〕6号）要求，调整客运许可层级，并对客运班线的划分标准、类型及协商决定机制作相应调整。</w:t>
      </w:r>
      <w:r w:rsidRPr="00752360">
        <w:rPr>
          <w:rFonts w:ascii="微软雅黑" w:eastAsia="微软雅黑" w:hAnsi="微软雅黑" w:cs="Helvetica" w:hint="eastAsia"/>
          <w:color w:val="333333"/>
          <w:kern w:val="0"/>
          <w:szCs w:val="21"/>
          <w:lang/>
        </w:rPr>
        <w:br/>
        <w:t>（二）按照“放管服”改革精神，全面减少了许可管理事项，并增加了规范客运新模式发展和强化安全监管内容。</w:t>
      </w:r>
      <w:r w:rsidRPr="00752360">
        <w:rPr>
          <w:rFonts w:ascii="微软雅黑" w:eastAsia="微软雅黑" w:hAnsi="微软雅黑" w:cs="Helvetica" w:hint="eastAsia"/>
          <w:color w:val="333333"/>
          <w:kern w:val="0"/>
          <w:szCs w:val="21"/>
          <w:lang/>
        </w:rPr>
        <w:br/>
        <w:t xml:space="preserve">　　一是优化客运许可。取消许可条件中的车辆客位数要求，由经营者根据市场需求自行决定客车车型；将“途经路线”由许可事项改为备案事项，放开日发班次上限，允许在不低于车辆类型等级前提下调配车辆，释放经营者经营自主权；在许可方式方面，将“客运班线经营及包车客运许可原则上应当通过服务质量招投标的方式实施”调整为“客运班线经营可以通过服务质量招投标的方式实施”。</w:t>
      </w:r>
      <w:r w:rsidRPr="00752360">
        <w:rPr>
          <w:rFonts w:ascii="微软雅黑" w:eastAsia="微软雅黑" w:hAnsi="微软雅黑" w:cs="Helvetica" w:hint="eastAsia"/>
          <w:color w:val="333333"/>
          <w:kern w:val="0"/>
          <w:szCs w:val="21"/>
          <w:lang/>
        </w:rPr>
        <w:br/>
        <w:t xml:space="preserve">　　二是推行客运站许可告知承诺制度，简化客运经营许可材料。推广自贸区“证照分离”改革试点做法，明确客运站经营许可实行告知承诺制，简化相对人申请程序，缩短许可时限，降低企业制度性交易成本。对于可通过部门共享、内部核查获取的信息及企业章程等无直接关联材料，不再要求申请人提交，将客运经营许可中的站点方案和聘用驾驶员调整为承诺制，便利相对人。同时，强化对承诺事项检查和违法处置力度，确保承诺事项落实到位。</w:t>
      </w:r>
      <w:r w:rsidRPr="00752360">
        <w:rPr>
          <w:rFonts w:ascii="微软雅黑" w:eastAsia="微软雅黑" w:hAnsi="微软雅黑" w:cs="Helvetica" w:hint="eastAsia"/>
          <w:color w:val="333333"/>
          <w:kern w:val="0"/>
          <w:szCs w:val="21"/>
          <w:lang/>
        </w:rPr>
        <w:br/>
        <w:t xml:space="preserve">　　三是放宽客运经营限制，激发市场活力。允许客运班车在起讫地、中途停靠地所在城区沿途下客，便利旅客出行；允许客运站在满足基本服务功能前提下拓展旅游集散、邮政、物流等功能，充分利用客运站资源；调整省内包车强制分类管理制度，授权省级交通运输部门确定省内包车客运是否细分市际、县际、县内管理；允许包车客运向下兼容运营，即省际、市际、县际包车客运经营者可以分别经营省内、市内、县内包车客运业务。同时，将包车客</w:t>
      </w:r>
      <w:r w:rsidRPr="00752360">
        <w:rPr>
          <w:rFonts w:ascii="微软雅黑" w:eastAsia="微软雅黑" w:hAnsi="微软雅黑" w:cs="Helvetica" w:hint="eastAsia"/>
          <w:color w:val="333333"/>
          <w:kern w:val="0"/>
          <w:szCs w:val="21"/>
          <w:lang/>
        </w:rPr>
        <w:lastRenderedPageBreak/>
        <w:t>运车辆数量要求适度上调，切实做到“放管结合”。</w:t>
      </w:r>
      <w:r w:rsidRPr="00752360">
        <w:rPr>
          <w:rFonts w:ascii="微软雅黑" w:eastAsia="微软雅黑" w:hAnsi="微软雅黑" w:cs="Helvetica" w:hint="eastAsia"/>
          <w:color w:val="333333"/>
          <w:kern w:val="0"/>
          <w:szCs w:val="21"/>
          <w:lang/>
        </w:rPr>
        <w:br/>
        <w:t xml:space="preserve">　　四是优化客运市场营商环境，保障公平竞争。取消现行《客规》中的不满足客运许可条件的全资或控股子公司使用母公司许可资质从事经营活动、客运经营者延续经营优先许可等制度，进一步明确客运班线经营许可期限届满后，应当依法重新申请许可，营造客运市场公平竞争环境。</w:t>
      </w:r>
      <w:r w:rsidRPr="00752360">
        <w:rPr>
          <w:rFonts w:ascii="微软雅黑" w:eastAsia="微软雅黑" w:hAnsi="微软雅黑" w:cs="Helvetica" w:hint="eastAsia"/>
          <w:color w:val="333333"/>
          <w:kern w:val="0"/>
          <w:szCs w:val="21"/>
          <w:lang/>
        </w:rPr>
        <w:br/>
        <w:t xml:space="preserve">　　五是规范客运定制服务，引导客运新模式健康发展。明确从事定制客运需先取得班线经营许可，定制客运车辆核定人数在7人以上，在发车时间、上下旅客地点等方面给予定制客运车辆更大的灵活度。增加对从事定制服务的班车客运经营者和网络平台的义务规定及监管要求。</w:t>
      </w:r>
      <w:r w:rsidRPr="00752360">
        <w:rPr>
          <w:rFonts w:ascii="微软雅黑" w:eastAsia="微软雅黑" w:hAnsi="微软雅黑" w:cs="Helvetica" w:hint="eastAsia"/>
          <w:color w:val="333333"/>
          <w:kern w:val="0"/>
          <w:szCs w:val="21"/>
          <w:lang/>
        </w:rPr>
        <w:br/>
        <w:t xml:space="preserve">　　六是推进农村客运发展，提升均等化水平。为保障农村客运可持续发展，巩固交通运输脱贫攻坚成果，做好与乡村振兴战略的有效衔接，落实交通强国建设纲要要求，《客规》明确了农村客运公益属性及城乡客运一体化要求。同时，对农村客运作出特别规定，明确农村客运班线中途停靠地客运站点可以由其经营者自行决定，在乡村一端无客运站的，无需进站发班，更好满足实际运营需要，并利于地方结合当地实际发展预约响应、区域经营等形式的农村客运。</w:t>
      </w:r>
      <w:r w:rsidRPr="00752360">
        <w:rPr>
          <w:rFonts w:ascii="微软雅黑" w:eastAsia="微软雅黑" w:hAnsi="微软雅黑" w:cs="Helvetica" w:hint="eastAsia"/>
          <w:color w:val="333333"/>
          <w:kern w:val="0"/>
          <w:szCs w:val="21"/>
          <w:lang/>
        </w:rPr>
        <w:br/>
        <w:t xml:space="preserve">　　七是强化客运安全监管，切实保障运营安全。鉴于800公里以上客运班线运距远、运营时间长、途经路况复杂，较大以上安全生产事故易发多发，要求在准入环节开展安全风险评估。针对行李舱载货风险高、隐患大的实际，明确货物安检、装载规范等要求，提升客车载货安全监管水平。此外，增加发车前安全告知、行李物品安检、包车运次时限等措施和要求，确保安全运行。</w:t>
      </w:r>
      <w:r w:rsidRPr="00752360">
        <w:rPr>
          <w:rFonts w:ascii="微软雅黑" w:eastAsia="微软雅黑" w:hAnsi="微软雅黑" w:cs="Helvetica" w:hint="eastAsia"/>
          <w:color w:val="333333"/>
          <w:kern w:val="0"/>
          <w:szCs w:val="21"/>
          <w:lang/>
        </w:rPr>
        <w:br/>
        <w:t xml:space="preserve">　　三、有关问题说明</w:t>
      </w:r>
      <w:r w:rsidRPr="00752360">
        <w:rPr>
          <w:rFonts w:ascii="微软雅黑" w:eastAsia="微软雅黑" w:hAnsi="微软雅黑" w:cs="Helvetica" w:hint="eastAsia"/>
          <w:color w:val="333333"/>
          <w:kern w:val="0"/>
          <w:szCs w:val="21"/>
          <w:lang/>
        </w:rPr>
        <w:br/>
        <w:t xml:space="preserve">　　（一）关于提升班车客运经营者经营自主权。</w:t>
      </w:r>
      <w:r w:rsidRPr="00752360">
        <w:rPr>
          <w:rFonts w:ascii="微软雅黑" w:eastAsia="微软雅黑" w:hAnsi="微软雅黑" w:cs="Helvetica" w:hint="eastAsia"/>
          <w:color w:val="333333"/>
          <w:kern w:val="0"/>
          <w:szCs w:val="21"/>
          <w:lang/>
        </w:rPr>
        <w:br/>
      </w:r>
      <w:r w:rsidRPr="00752360">
        <w:rPr>
          <w:rFonts w:ascii="微软雅黑" w:eastAsia="微软雅黑" w:hAnsi="微软雅黑" w:cs="Helvetica" w:hint="eastAsia"/>
          <w:color w:val="333333"/>
          <w:kern w:val="0"/>
          <w:szCs w:val="21"/>
          <w:lang/>
        </w:rPr>
        <w:lastRenderedPageBreak/>
        <w:t>本次《客规》修订，简化、优化了道路客运班线的许可事项，着力提升班车客运经营者在班次安排、运力调配、行驶路线、站点设置等方面的自主权。一是取消了许可事项中的班车类别（直达／普通）。二是将途经路线由许可事项调整为备案事项，经营者可以备案1条常用路线、1条备用路线。三是优化了日发班次要求，将日发班次调整为“日发班次下限”，即班车客运经营者可在满足最低日发班次的基础上，根据市场需求，灵活增加班次，在自身运力条件允许的情况下，无需再办理加班车手续。四是优化车辆数量及要求，除800公里以上客运班线外，车辆数量许可为区间范围，班车客运经营者可以在车辆数量区间内灵活调配符合车辆类型等级、技术等级要求的车辆，无需将车辆与线路“捆绑”经营。五是进一步明确起讫地客运站点为备案事项，将现行《客规》中《道路客运班线经营许可证明》调整为《道路客运班线经营信息表》，显著区分许可事项和备案事项。</w:t>
      </w:r>
      <w:r w:rsidRPr="00752360">
        <w:rPr>
          <w:rFonts w:ascii="微软雅黑" w:eastAsia="微软雅黑" w:hAnsi="微软雅黑" w:cs="Helvetica" w:hint="eastAsia"/>
          <w:color w:val="333333"/>
          <w:kern w:val="0"/>
          <w:szCs w:val="21"/>
          <w:lang/>
        </w:rPr>
        <w:br/>
        <w:t xml:space="preserve">　　（二）关于解决旅客就近上下车需求问题。</w:t>
      </w:r>
      <w:r w:rsidRPr="00752360">
        <w:rPr>
          <w:rFonts w:ascii="微软雅黑" w:eastAsia="微软雅黑" w:hAnsi="微软雅黑" w:cs="Helvetica" w:hint="eastAsia"/>
          <w:color w:val="333333"/>
          <w:kern w:val="0"/>
          <w:szCs w:val="21"/>
          <w:lang/>
        </w:rPr>
        <w:br/>
        <w:t>为充分发挥道路客运“门到门”“点到点”优势，满足旅客便捷乘车需求，《客规》从三个方面提出了改革举措。一是发展定制客运。明确定制客运车辆可以不进站，在客运班线的起讫地、中途停靠地让所在的市县城区根据乘客需求灵活停靠，由驾驶员或者其他工作人员实施行李物品安检，由班车客运经营者和网络平台依法落实实名制管理要求。二是发展客运站“一站多点”模式。鼓励客运站在其所在的城区范围内的客流密集地点设立停靠点，实行备案管理，由其所属客运站负责安检和实名制管理。同时，明确班车客运经营者调整起讫地客运站点时，仅需办理备案，方便客运经营者增补停靠站点。三是放松中途下客管制。允许客运班车在遵守道路交通安全、城市管理相关法律法规和交通限制措施的前提下，在起讫地、中途停靠地所在的市县城区沿途下客（重大活动期间，客运班车应当按照相关道路运输管理机构指定的配客站点上下旅客）。</w:t>
      </w:r>
      <w:r w:rsidRPr="00752360">
        <w:rPr>
          <w:rFonts w:ascii="微软雅黑" w:eastAsia="微软雅黑" w:hAnsi="微软雅黑" w:cs="Helvetica" w:hint="eastAsia"/>
          <w:color w:val="333333"/>
          <w:kern w:val="0"/>
          <w:szCs w:val="21"/>
          <w:lang/>
        </w:rPr>
        <w:br/>
        <w:t xml:space="preserve">　　（三）关于鼓励和规范班车客运定制服务发展。</w:t>
      </w:r>
      <w:r w:rsidRPr="00752360">
        <w:rPr>
          <w:rFonts w:ascii="微软雅黑" w:eastAsia="微软雅黑" w:hAnsi="微软雅黑" w:cs="Helvetica" w:hint="eastAsia"/>
          <w:color w:val="333333"/>
          <w:kern w:val="0"/>
          <w:szCs w:val="21"/>
          <w:lang/>
        </w:rPr>
        <w:br/>
      </w:r>
      <w:r w:rsidRPr="00752360">
        <w:rPr>
          <w:rFonts w:ascii="微软雅黑" w:eastAsia="微软雅黑" w:hAnsi="微软雅黑" w:cs="Helvetica" w:hint="eastAsia"/>
          <w:color w:val="333333"/>
          <w:kern w:val="0"/>
          <w:szCs w:val="21"/>
          <w:lang/>
        </w:rPr>
        <w:lastRenderedPageBreak/>
        <w:t>2016年12月，《交通运输部关于深化改革加快推进道路客运转型升级的指导意见》正式提出“规范发展道路客运定制服务”以来，已有20余个省份开展了定制客运试点。《客规》充分总结地方实践经验做法，专门新增了“班车客运定制服务”一章和相应的法律责任，进一步鼓励和规范定制客运发展。</w:t>
      </w:r>
      <w:r w:rsidRPr="00752360">
        <w:rPr>
          <w:rFonts w:ascii="微软雅黑" w:eastAsia="微软雅黑" w:hAnsi="微软雅黑" w:cs="Helvetica" w:hint="eastAsia"/>
          <w:color w:val="333333"/>
          <w:kern w:val="0"/>
          <w:szCs w:val="21"/>
          <w:lang/>
        </w:rPr>
        <w:br/>
        <w:t xml:space="preserve">　　一是依托班车客运经营者既有道路客运班线开展定制客运。总结试点企业运营模式和地方管理实践，定制客运的基本模式是通过互联网预先发布线路起讫地等信息，根据旅客需求灵活设置起讫地的停靠站点和发车时间，具有鲜明的定线运营特点。为此，《客规》明确了定制客运的定义：指已经取得道路客运班线经营许可的经营者依托电子商务平台发布道路客运班线起讫地等信息、开展线上售票，按照旅客需求灵活确定发车时间、上下旅客地点并提供运输服务的班车客运运营方式。定制客运的实施主体为具有相应班线经营许可的班车客运经营者，电子商务平台为其提供相应的网络信息服务。</w:t>
      </w:r>
      <w:r w:rsidRPr="00752360">
        <w:rPr>
          <w:rFonts w:ascii="微软雅黑" w:eastAsia="微软雅黑" w:hAnsi="微软雅黑" w:cs="Helvetica" w:hint="eastAsia"/>
          <w:color w:val="333333"/>
          <w:kern w:val="0"/>
          <w:szCs w:val="21"/>
          <w:lang/>
        </w:rPr>
        <w:br/>
        <w:t xml:space="preserve">　　二是明确开展定制客运的基本要求。班车客运经营者开展定制客运实施备案管理，车辆核定载客人数应当在7人及以上；提供定制客运网络信息服务的电子商务平台（简称网络平台），应当依照国家有关法规办理市场主体登记、互联网信息服务许可或者备案等有关手续，确保接入的企业、车辆、驾驶员具备相应的资质。</w:t>
      </w:r>
      <w:r w:rsidRPr="00752360">
        <w:rPr>
          <w:rFonts w:ascii="微软雅黑" w:eastAsia="微软雅黑" w:hAnsi="微软雅黑" w:cs="Helvetica" w:hint="eastAsia"/>
          <w:color w:val="333333"/>
          <w:kern w:val="0"/>
          <w:szCs w:val="21"/>
          <w:lang/>
        </w:rPr>
        <w:br/>
        <w:t xml:space="preserve">　　三是明确定制客运的灵活政策。定制客运车辆日发班次由其经营者自定，可在经许可的班线起讫地、中途停靠地所在的市县城区按乘客需求停靠、上下客。</w:t>
      </w:r>
      <w:r w:rsidRPr="00752360">
        <w:rPr>
          <w:rFonts w:ascii="微软雅黑" w:eastAsia="微软雅黑" w:hAnsi="微软雅黑" w:cs="Helvetica" w:hint="eastAsia"/>
          <w:color w:val="333333"/>
          <w:kern w:val="0"/>
          <w:szCs w:val="21"/>
          <w:lang/>
        </w:rPr>
        <w:br/>
        <w:t>四是明确定制客运的运行要求。定制客运车的班车客运标志牌应粘贴“定制客运”标识。网络平台应当提前向旅客推送有关乘车信息，并确保线上线下经营者、车辆和驾驶员一致，落实实名制管理要求，妥善保存业务数据，并按照管理部门要求如实提供。</w:t>
      </w:r>
      <w:r w:rsidRPr="00752360">
        <w:rPr>
          <w:rFonts w:ascii="微软雅黑" w:eastAsia="微软雅黑" w:hAnsi="微软雅黑" w:cs="Helvetica" w:hint="eastAsia"/>
          <w:color w:val="333333"/>
          <w:kern w:val="0"/>
          <w:szCs w:val="21"/>
          <w:lang/>
        </w:rPr>
        <w:br/>
        <w:t>五是明确网络平台相关责任。网络平台发现车辆违法违规行为的，应当及时通报班车客运经营者。对网络平台接入不符合规定的经营者、车辆、驾驶员开展经营，超出班车客运经营者</w:t>
      </w:r>
      <w:r w:rsidRPr="00752360">
        <w:rPr>
          <w:rFonts w:ascii="微软雅黑" w:eastAsia="微软雅黑" w:hAnsi="微软雅黑" w:cs="Helvetica" w:hint="eastAsia"/>
          <w:color w:val="333333"/>
          <w:kern w:val="0"/>
          <w:szCs w:val="21"/>
          <w:lang/>
        </w:rPr>
        <w:lastRenderedPageBreak/>
        <w:t>许可范围经营，发布的经营者、车辆、驾驶员信息与实际提供服务不一致等情形的，设置相应罚则。</w:t>
      </w:r>
      <w:r w:rsidRPr="00752360">
        <w:rPr>
          <w:rFonts w:ascii="微软雅黑" w:eastAsia="微软雅黑" w:hAnsi="微软雅黑" w:cs="Helvetica" w:hint="eastAsia"/>
          <w:color w:val="333333"/>
          <w:kern w:val="0"/>
          <w:szCs w:val="21"/>
          <w:lang/>
        </w:rPr>
        <w:br/>
        <w:t xml:space="preserve">　　（四）关于强化道路客运安全管理要求。</w:t>
      </w:r>
      <w:r w:rsidRPr="00752360">
        <w:rPr>
          <w:rFonts w:ascii="微软雅黑" w:eastAsia="微软雅黑" w:hAnsi="微软雅黑" w:cs="Helvetica" w:hint="eastAsia"/>
          <w:color w:val="333333"/>
          <w:kern w:val="0"/>
          <w:szCs w:val="21"/>
          <w:lang/>
        </w:rPr>
        <w:br/>
        <w:t xml:space="preserve">　　一是从严管控800公里以上客运班线。分析近年来发生的较大以上道路客运安全事故，800公里以上客运班线安全风险远高于行业平均水平，2017年陕西安康8·10特大事故、2018年湖南衡阳6·29重大事故均为营运里程均超过800公里的省际客运班车。《中共中央　国务院关于推进安全生产领域改革发展的意见》明确提出加强安全风险管控，紧密结合供给侧结构性改革，推动高危产业转型升级；严格安全准入标准，指导管控安全风险，强化源头治理。为此，《客规》明确申请800公里以上客运班线的，应当开展安全风险评估，严格市场准入和事中监管，有效化解客运安全风险。</w:t>
      </w:r>
      <w:r w:rsidRPr="00752360">
        <w:rPr>
          <w:rFonts w:ascii="微软雅黑" w:eastAsia="微软雅黑" w:hAnsi="微软雅黑" w:cs="Helvetica" w:hint="eastAsia"/>
          <w:color w:val="333333"/>
          <w:kern w:val="0"/>
          <w:szCs w:val="21"/>
          <w:lang/>
        </w:rPr>
        <w:br/>
        <w:t xml:space="preserve">　　二是明确包车客运运次时限要求。分析近年来发生的包车客运领域安全生产事故，主要原因是由于包车运行周期长、距离远，驾驶员疲劳驾驶导致安全风险加大；包车在车籍地以外运行，企业管理和管理部门监管难度相对较大，一些事故车辆出现擅自脱离动态监控、长期异地经营行为。部2013年印发的《包车客运管理信息系统建设及管理规范》规定，省际包车客运业务备案一般不超过15天，已经具备实践基础。为此，《客规》明确包车客运单个运次不超过15日。</w:t>
      </w:r>
      <w:r w:rsidRPr="00752360">
        <w:rPr>
          <w:rFonts w:ascii="微软雅黑" w:eastAsia="微软雅黑" w:hAnsi="微软雅黑" w:cs="Helvetica" w:hint="eastAsia"/>
          <w:color w:val="333333"/>
          <w:kern w:val="0"/>
          <w:szCs w:val="21"/>
          <w:lang/>
        </w:rPr>
        <w:br/>
        <w:t xml:space="preserve">　　三是强化道路客运安全事项告知。多起事故教训表明，旅客和司乘人员不规范使用安全带成为扩大人员伤亡的重要诱因，安全带是突发事件发生时保护人身安全的重要“生命带”。在《客规》中，专门增加条款，明确“客运经营者应当按照有关规定在发车前进行旅客系固安全带等安全事项告知”，并增加了相应罚则，同时要求旅客按照规定使用安全带。</w:t>
      </w:r>
    </w:p>
    <w:p w:rsidR="00C75A18" w:rsidRPr="00752360" w:rsidRDefault="00C75A18">
      <w:pPr>
        <w:rPr>
          <w:lang/>
        </w:rPr>
      </w:pPr>
      <w:bookmarkStart w:id="0" w:name="_GoBack"/>
      <w:bookmarkEnd w:id="0"/>
    </w:p>
    <w:sectPr w:rsidR="00C75A18" w:rsidRPr="00752360" w:rsidSect="00B23E2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36521" w:rsidRDefault="00636521" w:rsidP="001B23ED">
      <w:r>
        <w:separator/>
      </w:r>
    </w:p>
  </w:endnote>
  <w:endnote w:type="continuationSeparator" w:id="1">
    <w:p w:rsidR="00636521" w:rsidRDefault="00636521" w:rsidP="001B23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36521" w:rsidRDefault="00636521" w:rsidP="001B23ED">
      <w:r>
        <w:separator/>
      </w:r>
    </w:p>
  </w:footnote>
  <w:footnote w:type="continuationSeparator" w:id="1">
    <w:p w:rsidR="00636521" w:rsidRDefault="00636521" w:rsidP="001B23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2360"/>
    <w:rsid w:val="001B23ED"/>
    <w:rsid w:val="00636521"/>
    <w:rsid w:val="00752360"/>
    <w:rsid w:val="00B23E20"/>
    <w:rsid w:val="00C75A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E20"/>
    <w:pPr>
      <w:widowControl w:val="0"/>
      <w:jc w:val="both"/>
    </w:pPr>
  </w:style>
  <w:style w:type="paragraph" w:styleId="1">
    <w:name w:val="heading 1"/>
    <w:basedOn w:val="a"/>
    <w:link w:val="1Char"/>
    <w:uiPriority w:val="9"/>
    <w:qFormat/>
    <w:rsid w:val="00752360"/>
    <w:pPr>
      <w:widowControl/>
      <w:spacing w:before="161" w:after="161"/>
      <w:jc w:val="left"/>
      <w:outlineLvl w:val="0"/>
    </w:pPr>
    <w:rPr>
      <w:rFonts w:ascii="inherit" w:eastAsia="宋体" w:hAnsi="inherit" w:cs="宋体"/>
      <w:kern w:val="36"/>
      <w:sz w:val="48"/>
      <w:szCs w:val="48"/>
    </w:rPr>
  </w:style>
  <w:style w:type="paragraph" w:styleId="4">
    <w:name w:val="heading 4"/>
    <w:basedOn w:val="a"/>
    <w:link w:val="4Char"/>
    <w:uiPriority w:val="9"/>
    <w:qFormat/>
    <w:rsid w:val="00752360"/>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752360"/>
    <w:rPr>
      <w:rFonts w:ascii="inherit" w:eastAsia="宋体" w:hAnsi="inherit" w:cs="宋体"/>
      <w:kern w:val="36"/>
      <w:sz w:val="48"/>
      <w:szCs w:val="48"/>
    </w:rPr>
  </w:style>
  <w:style w:type="character" w:customStyle="1" w:styleId="4Char">
    <w:name w:val="标题 4 Char"/>
    <w:basedOn w:val="a0"/>
    <w:link w:val="4"/>
    <w:uiPriority w:val="9"/>
    <w:rsid w:val="00752360"/>
    <w:rPr>
      <w:rFonts w:ascii="inherit" w:eastAsia="宋体" w:hAnsi="inherit" w:cs="宋体"/>
      <w:kern w:val="0"/>
      <w:sz w:val="27"/>
      <w:szCs w:val="27"/>
    </w:rPr>
  </w:style>
  <w:style w:type="paragraph" w:styleId="a3">
    <w:name w:val="Normal (Web)"/>
    <w:basedOn w:val="a"/>
    <w:uiPriority w:val="99"/>
    <w:semiHidden/>
    <w:unhideWhenUsed/>
    <w:rsid w:val="00752360"/>
    <w:pPr>
      <w:widowControl/>
      <w:spacing w:after="150"/>
      <w:jc w:val="left"/>
    </w:pPr>
    <w:rPr>
      <w:rFonts w:ascii="宋体" w:eastAsia="宋体" w:hAnsi="宋体" w:cs="宋体"/>
      <w:kern w:val="0"/>
      <w:sz w:val="24"/>
      <w:szCs w:val="24"/>
    </w:rPr>
  </w:style>
  <w:style w:type="paragraph" w:styleId="a4">
    <w:name w:val="header"/>
    <w:basedOn w:val="a"/>
    <w:link w:val="Char"/>
    <w:uiPriority w:val="99"/>
    <w:semiHidden/>
    <w:unhideWhenUsed/>
    <w:rsid w:val="001B2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B23ED"/>
    <w:rPr>
      <w:sz w:val="18"/>
      <w:szCs w:val="18"/>
    </w:rPr>
  </w:style>
  <w:style w:type="paragraph" w:styleId="a5">
    <w:name w:val="footer"/>
    <w:basedOn w:val="a"/>
    <w:link w:val="Char0"/>
    <w:uiPriority w:val="99"/>
    <w:semiHidden/>
    <w:unhideWhenUsed/>
    <w:rsid w:val="001B23ED"/>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B23ED"/>
    <w:rPr>
      <w:sz w:val="18"/>
      <w:szCs w:val="18"/>
    </w:rPr>
  </w:style>
</w:styles>
</file>

<file path=word/webSettings.xml><?xml version="1.0" encoding="utf-8"?>
<w:webSettings xmlns:r="http://schemas.openxmlformats.org/officeDocument/2006/relationships" xmlns:w="http://schemas.openxmlformats.org/wordprocessingml/2006/main">
  <w:divs>
    <w:div w:id="1084299851">
      <w:bodyDiv w:val="1"/>
      <w:marLeft w:val="0"/>
      <w:marRight w:val="0"/>
      <w:marTop w:val="0"/>
      <w:marBottom w:val="0"/>
      <w:divBdr>
        <w:top w:val="none" w:sz="0" w:space="0" w:color="auto"/>
        <w:left w:val="none" w:sz="0" w:space="0" w:color="auto"/>
        <w:bottom w:val="none" w:sz="0" w:space="0" w:color="auto"/>
        <w:right w:val="none" w:sz="0" w:space="0" w:color="auto"/>
      </w:divBdr>
      <w:divsChild>
        <w:div w:id="1613200911">
          <w:marLeft w:val="0"/>
          <w:marRight w:val="0"/>
          <w:marTop w:val="0"/>
          <w:marBottom w:val="0"/>
          <w:divBdr>
            <w:top w:val="none" w:sz="0" w:space="0" w:color="auto"/>
            <w:left w:val="none" w:sz="0" w:space="0" w:color="auto"/>
            <w:bottom w:val="none" w:sz="0" w:space="0" w:color="auto"/>
            <w:right w:val="none" w:sz="0" w:space="0" w:color="auto"/>
          </w:divBdr>
          <w:divsChild>
            <w:div w:id="125242421">
              <w:marLeft w:val="0"/>
              <w:marRight w:val="0"/>
              <w:marTop w:val="0"/>
              <w:marBottom w:val="0"/>
              <w:divBdr>
                <w:top w:val="none" w:sz="0" w:space="0" w:color="auto"/>
                <w:left w:val="none" w:sz="0" w:space="0" w:color="auto"/>
                <w:bottom w:val="none" w:sz="0" w:space="0" w:color="auto"/>
                <w:right w:val="none" w:sz="0" w:space="0" w:color="auto"/>
              </w:divBdr>
              <w:divsChild>
                <w:div w:id="1324695817">
                  <w:marLeft w:val="-225"/>
                  <w:marRight w:val="-225"/>
                  <w:marTop w:val="0"/>
                  <w:marBottom w:val="0"/>
                  <w:divBdr>
                    <w:top w:val="none" w:sz="0" w:space="0" w:color="auto"/>
                    <w:left w:val="none" w:sz="0" w:space="0" w:color="auto"/>
                    <w:bottom w:val="none" w:sz="0" w:space="0" w:color="auto"/>
                    <w:right w:val="none" w:sz="0" w:space="0" w:color="auto"/>
                  </w:divBdr>
                  <w:divsChild>
                    <w:div w:id="2003001683">
                      <w:marLeft w:val="0"/>
                      <w:marRight w:val="0"/>
                      <w:marTop w:val="0"/>
                      <w:marBottom w:val="0"/>
                      <w:divBdr>
                        <w:top w:val="none" w:sz="0" w:space="0" w:color="auto"/>
                        <w:left w:val="none" w:sz="0" w:space="0" w:color="auto"/>
                        <w:bottom w:val="none" w:sz="0" w:space="0" w:color="auto"/>
                        <w:right w:val="none" w:sz="0" w:space="0" w:color="auto"/>
                      </w:divBdr>
                      <w:divsChild>
                        <w:div w:id="1506246264">
                          <w:marLeft w:val="0"/>
                          <w:marRight w:val="0"/>
                          <w:marTop w:val="0"/>
                          <w:marBottom w:val="0"/>
                          <w:divBdr>
                            <w:top w:val="none" w:sz="0" w:space="0" w:color="auto"/>
                            <w:left w:val="none" w:sz="0" w:space="0" w:color="auto"/>
                            <w:bottom w:val="none" w:sz="0" w:space="0" w:color="auto"/>
                            <w:right w:val="none" w:sz="0" w:space="0" w:color="auto"/>
                          </w:divBdr>
                          <w:divsChild>
                            <w:div w:id="15093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675</Words>
  <Characters>3851</Characters>
  <Application>Microsoft Office Word</Application>
  <DocSecurity>0</DocSecurity>
  <Lines>32</Lines>
  <Paragraphs>9</Paragraphs>
  <ScaleCrop>false</ScaleCrop>
  <Company/>
  <LinksUpToDate>false</LinksUpToDate>
  <CharactersWithSpaces>4517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NTKO</cp:lastModifiedBy>
  <cp:revision>2</cp:revision>
  <dcterms:created xsi:type="dcterms:W3CDTF">2020-09-08T01:33:00Z</dcterms:created>
  <dcterms:modified xsi:type="dcterms:W3CDTF">2020-09-08T03:21:00Z</dcterms:modified>
</cp:coreProperties>
</file>